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BDBEC">
      <w:pPr>
        <w:keepNext w:val="0"/>
        <w:keepLines w:val="0"/>
        <w:widowControl/>
        <w:suppressLineNumbers w:val="0"/>
        <w:spacing w:line="360" w:lineRule="auto"/>
        <w:jc w:val="center"/>
        <w:rPr>
          <w:rFonts w:hint="default" w:ascii="Times New Roman" w:hAnsi="Times New Roman" w:eastAsia="Merriweather-Bold"/>
          <w:b/>
          <w:bCs/>
          <w:color w:val="212121"/>
          <w:kern w:val="0"/>
          <w:sz w:val="24"/>
          <w:szCs w:val="24"/>
          <w:lang w:val="en-US" w:eastAsia="zh-CN"/>
          <w14:ligatures w14:val="standardContextual"/>
        </w:rPr>
      </w:pPr>
      <w:r>
        <w:rPr>
          <w:rFonts w:hint="default" w:ascii="Times New Roman" w:hAnsi="Times New Roman" w:eastAsia="TimesNewRomanPS-BoldItalicMT" w:cs="Times New Roman"/>
          <w:b/>
          <w:bCs/>
          <w:i/>
          <w:iCs/>
          <w:color w:val="000000"/>
          <w:kern w:val="0"/>
          <w:sz w:val="24"/>
          <w:szCs w:val="24"/>
          <w:lang w:val="en-US" w:eastAsia="zh-CN" w:bidi="ar"/>
          <w14:ligatures w14:val="standardContextual"/>
        </w:rPr>
        <w:t>ABSTRACT</w:t>
      </w:r>
    </w:p>
    <w:p w14:paraId="09985D39">
      <w:pPr>
        <w:keepNext w:val="0"/>
        <w:keepLines w:val="0"/>
        <w:widowControl/>
        <w:suppressLineNumbers w:val="0"/>
        <w:spacing w:line="360" w:lineRule="auto"/>
        <w:jc w:val="center"/>
        <w:rPr>
          <w:rFonts w:hint="default" w:ascii="Times New Roman" w:hAnsi="Times New Roman" w:eastAsia="Merriweather-Bold"/>
          <w:b/>
          <w:bCs/>
          <w:color w:val="212121"/>
          <w:kern w:val="0"/>
          <w:sz w:val="24"/>
          <w:szCs w:val="24"/>
          <w:lang w:val="en-US" w:eastAsia="zh-CN"/>
          <w14:ligatures w14:val="standardContextual"/>
        </w:rPr>
      </w:pPr>
      <w:r>
        <w:rPr>
          <w:rFonts w:hint="default" w:ascii="Times New Roman" w:hAnsi="Times New Roman" w:eastAsia="Merriweather-Bold"/>
          <w:b/>
          <w:bCs/>
          <w:color w:val="212121"/>
          <w:kern w:val="0"/>
          <w:sz w:val="24"/>
          <w:szCs w:val="24"/>
          <w:lang w:val="en-US" w:eastAsia="zh-CN"/>
          <w14:ligatures w14:val="standardContextual"/>
        </w:rPr>
        <w:t>THE EFFECT OF HEALTH EDUCATION WITH FLASHCARD MEDIA BASED ON THE HEALTH BELIEF MODEL ON EARLY DETECTION OF BREAST CANCER IN ADOLESCENT GIRLS</w:t>
      </w:r>
    </w:p>
    <w:p w14:paraId="160B8A0E">
      <w:pPr>
        <w:keepNext w:val="0"/>
        <w:keepLines w:val="0"/>
        <w:widowControl/>
        <w:suppressLineNumbers w:val="0"/>
        <w:spacing w:line="480" w:lineRule="auto"/>
        <w:jc w:val="center"/>
        <w:rPr>
          <w:rFonts w:hint="default" w:ascii="Times New Roman" w:hAnsi="Times New Roman" w:eastAsia="Merriweather-Bold" w:cs="Times New Roman"/>
          <w:b/>
          <w:bCs/>
          <w:color w:val="212121"/>
          <w:kern w:val="0"/>
          <w:sz w:val="24"/>
          <w:szCs w:val="24"/>
          <w:lang w:val="en-US" w:eastAsia="zh-CN"/>
          <w14:ligatures w14:val="standardContextual"/>
        </w:rPr>
      </w:pPr>
      <w:r>
        <w:rPr>
          <w:rFonts w:hint="default" w:ascii="Times New Roman" w:hAnsi="Times New Roman" w:eastAsia="Merriweather-Bold"/>
          <w:b/>
          <w:bCs/>
          <w:color w:val="212121"/>
          <w:kern w:val="0"/>
          <w:sz w:val="24"/>
          <w:szCs w:val="24"/>
          <w:lang w:val="en-US" w:eastAsia="zh-CN"/>
          <w14:ligatures w14:val="standardContextual"/>
        </w:rPr>
        <w:t>Ni Nyoman Ratih Leonita</w:t>
      </w:r>
      <w:r>
        <w:rPr>
          <w:rFonts w:hint="default" w:ascii="Times New Roman" w:hAnsi="Times New Roman" w:eastAsia="Merriweather-Bold" w:cs="Times New Roman"/>
          <w:b/>
          <w:bCs/>
          <w:color w:val="212121"/>
          <w:kern w:val="0"/>
          <w:sz w:val="24"/>
          <w:szCs w:val="24"/>
          <w:lang w:val="en-US" w:eastAsia="zh-CN"/>
          <w14:ligatures w14:val="standardContextual"/>
        </w:rPr>
        <w:t xml:space="preserve">¹ , </w:t>
      </w:r>
      <w:r>
        <w:rPr>
          <w:rFonts w:hint="default" w:ascii="Times New Roman" w:hAnsi="Times New Roman" w:eastAsia="Merriweather-Bold"/>
          <w:b/>
          <w:bCs/>
          <w:color w:val="212121"/>
          <w:kern w:val="0"/>
          <w:sz w:val="24"/>
          <w:szCs w:val="24"/>
          <w:lang w:val="en-US" w:eastAsia="zh-CN"/>
          <w14:ligatures w14:val="standardContextual"/>
        </w:rPr>
        <w:t>Ketut Lisnawati I</w:t>
      </w:r>
      <w:r>
        <w:rPr>
          <w:rFonts w:hint="default" w:ascii="Times New Roman" w:hAnsi="Times New Roman" w:eastAsia="Merriweather-Bold" w:cs="Times New Roman"/>
          <w:b/>
          <w:bCs/>
          <w:color w:val="212121"/>
          <w:kern w:val="0"/>
          <w:sz w:val="24"/>
          <w:szCs w:val="24"/>
          <w:lang w:val="en-US" w:eastAsia="zh-CN"/>
          <w14:ligatures w14:val="standardContextual"/>
        </w:rPr>
        <w:t>² , Ni Ketut Citrawati II³</w:t>
      </w:r>
    </w:p>
    <w:p w14:paraId="6C3E8682">
      <w:pPr>
        <w:pStyle w:val="5"/>
        <w:keepNext w:val="0"/>
        <w:keepLines w:val="0"/>
        <w:widowControl/>
        <w:suppressLineNumbers w:val="0"/>
        <w:spacing w:line="360" w:lineRule="auto"/>
        <w:ind w:firstLine="720" w:firstLineChars="0"/>
        <w:jc w:val="both"/>
        <w:rPr>
          <w:i/>
          <w:iCs/>
        </w:rPr>
      </w:pPr>
      <w:r>
        <w:rPr>
          <w:i/>
          <w:iCs/>
        </w:rPr>
        <w:t xml:space="preserve">Breast cancer is one of the leading causes of death among women worldwide, including in Indonesia. Early detection through breast self-examination (BSE) has proven effective in reducing breast cancer mortality rates. However, awareness and early detection practices among adolescent girls remain low. Health education based on the </w:t>
      </w:r>
      <w:r>
        <w:rPr>
          <w:rStyle w:val="4"/>
          <w:i/>
          <w:iCs/>
        </w:rPr>
        <w:t>Health Belief Model</w:t>
      </w:r>
      <w:r>
        <w:rPr>
          <w:i/>
          <w:iCs/>
        </w:rPr>
        <w:t xml:space="preserve"> (HBM) using flashcard media is expected to improve early detection behaviors in this group. This study aims to determine the effect of health education using flashcard media based on the Health Belief Model on early breast cancer detection behavior among adolescent girls. The study employed a quasi-experimental design with a pre-test and post-test control group approach. The sample consisted of adolescent girls aged 15–18 years. The intervention group received education using HBM-based flashcards, while the control group did not receive any intervention. Data were analyzed using Wilcoxon and Mann-Whitney tests. The results showed a significant increase in early detection behavior scores in the intervention group compared to the control group (p &lt; 0.05). Positive changes were observed in the domains of perceived susceptibility, perceived benefits, and self-efficacy after the intervention. In conclusion, health education using flashcard media based on the Health Belief Model is effective in enhancing early breast cancer detection behavior among adolescent girls. This intervention can be implemented in school settings to raise awareness from an early age.</w:t>
      </w:r>
    </w:p>
    <w:p w14:paraId="7B9E1D31">
      <w:pPr>
        <w:pStyle w:val="5"/>
        <w:keepNext w:val="0"/>
        <w:keepLines w:val="0"/>
        <w:widowControl/>
        <w:suppressLineNumbers w:val="0"/>
        <w:spacing w:line="360" w:lineRule="auto"/>
        <w:jc w:val="both"/>
        <w:rPr>
          <w:i/>
          <w:iCs/>
        </w:rPr>
      </w:pPr>
      <w:r>
        <w:rPr>
          <w:rStyle w:val="6"/>
          <w:i/>
          <w:iCs/>
        </w:rPr>
        <w:t>Keywords:</w:t>
      </w:r>
      <w:r>
        <w:rPr>
          <w:i/>
          <w:iCs/>
        </w:rPr>
        <w:t xml:space="preserve"> Flashcard, Health Belief Model, Early Detection, Breast Cancer, Adolescent Girls</w:t>
      </w:r>
    </w:p>
    <w:p w14:paraId="418FC128">
      <w:pPr>
        <w:pStyle w:val="5"/>
        <w:keepNext w:val="0"/>
        <w:keepLines w:val="0"/>
        <w:widowControl/>
        <w:suppressLineNumbers w:val="0"/>
        <w:spacing w:line="360" w:lineRule="auto"/>
        <w:jc w:val="both"/>
        <w:rPr>
          <w:i/>
          <w:iCs/>
        </w:rPr>
      </w:pPr>
    </w:p>
    <w:p w14:paraId="7801314B">
      <w:pPr>
        <w:pStyle w:val="5"/>
        <w:keepNext w:val="0"/>
        <w:keepLines w:val="0"/>
        <w:widowControl/>
        <w:suppressLineNumbers w:val="0"/>
        <w:spacing w:line="360" w:lineRule="auto"/>
        <w:jc w:val="both"/>
        <w:rPr>
          <w:i/>
          <w:iCs/>
        </w:rPr>
      </w:pPr>
    </w:p>
    <w:p w14:paraId="382CD407">
      <w:pPr>
        <w:pStyle w:val="5"/>
        <w:keepNext w:val="0"/>
        <w:keepLines w:val="0"/>
        <w:widowControl/>
        <w:suppressLineNumbers w:val="0"/>
        <w:spacing w:line="360" w:lineRule="auto"/>
        <w:jc w:val="both"/>
        <w:rPr>
          <w:i/>
          <w:iCs/>
        </w:rPr>
      </w:pPr>
    </w:p>
    <w:p w14:paraId="40929C25">
      <w:pPr>
        <w:pStyle w:val="5"/>
        <w:keepNext w:val="0"/>
        <w:keepLines w:val="0"/>
        <w:widowControl/>
        <w:suppressLineNumbers w:val="0"/>
        <w:spacing w:line="360" w:lineRule="auto"/>
        <w:jc w:val="center"/>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ABSTRAK</w:t>
      </w:r>
    </w:p>
    <w:p w14:paraId="30AC1ADB">
      <w:pPr>
        <w:pStyle w:val="7"/>
        <w:numPr>
          <w:ilvl w:val="0"/>
          <w:numId w:val="0"/>
        </w:numPr>
        <w:spacing w:line="360" w:lineRule="auto"/>
        <w:ind w:leftChars="0"/>
        <w:jc w:val="center"/>
        <w:rPr>
          <w:rFonts w:hint="default" w:ascii="Times New Roman" w:hAnsi="Times New Roman" w:cs="Times New Roman"/>
          <w:b/>
          <w:bCs/>
          <w:lang w:val="en-US"/>
        </w:rPr>
      </w:pPr>
      <w:r>
        <w:rPr>
          <w:rFonts w:ascii="Times New Roman" w:hAnsi="Times New Roman" w:cs="Times New Roman"/>
          <w:b/>
          <w:bCs/>
        </w:rPr>
        <w:t>P</w:t>
      </w:r>
      <w:r>
        <w:rPr>
          <w:rFonts w:hint="default" w:ascii="Times New Roman" w:hAnsi="Times New Roman" w:cs="Times New Roman"/>
          <w:b/>
          <w:bCs/>
          <w:lang w:val="en-US"/>
        </w:rPr>
        <w:t xml:space="preserve">ENGARUH </w:t>
      </w:r>
      <w:r>
        <w:rPr>
          <w:rFonts w:ascii="Times New Roman" w:hAnsi="Times New Roman" w:cs="Times New Roman"/>
          <w:b/>
          <w:bCs/>
        </w:rPr>
        <w:t>P</w:t>
      </w:r>
      <w:r>
        <w:rPr>
          <w:rFonts w:hint="default" w:ascii="Times New Roman" w:hAnsi="Times New Roman" w:cs="Times New Roman"/>
          <w:b/>
          <w:bCs/>
          <w:lang w:val="en-US"/>
        </w:rPr>
        <w:t xml:space="preserve">ENDIDIKAN </w:t>
      </w:r>
      <w:r>
        <w:rPr>
          <w:rFonts w:ascii="Times New Roman" w:hAnsi="Times New Roman" w:cs="Times New Roman"/>
          <w:b/>
          <w:bCs/>
        </w:rPr>
        <w:t>K</w:t>
      </w:r>
      <w:r>
        <w:rPr>
          <w:rFonts w:hint="default" w:ascii="Times New Roman" w:hAnsi="Times New Roman" w:cs="Times New Roman"/>
          <w:b/>
          <w:bCs/>
          <w:lang w:val="en-US"/>
        </w:rPr>
        <w:t>ESEHATAN</w:t>
      </w:r>
      <w:r>
        <w:rPr>
          <w:rFonts w:ascii="Times New Roman" w:hAnsi="Times New Roman" w:cs="Times New Roman"/>
          <w:b/>
          <w:bCs/>
        </w:rPr>
        <w:t xml:space="preserve"> D</w:t>
      </w:r>
      <w:r>
        <w:rPr>
          <w:rFonts w:hint="default" w:ascii="Times New Roman" w:hAnsi="Times New Roman" w:cs="Times New Roman"/>
          <w:b/>
          <w:bCs/>
          <w:lang w:val="en-US"/>
        </w:rPr>
        <w:t>ENGAN</w:t>
      </w:r>
      <w:r>
        <w:rPr>
          <w:rFonts w:ascii="Times New Roman" w:hAnsi="Times New Roman" w:cs="Times New Roman"/>
          <w:b/>
          <w:bCs/>
        </w:rPr>
        <w:t xml:space="preserve"> </w:t>
      </w:r>
      <w:r>
        <w:rPr>
          <w:rFonts w:hint="default" w:ascii="Times New Roman" w:hAnsi="Times New Roman" w:eastAsia="SimSun" w:cs="Times New Roman"/>
          <w:b/>
          <w:bCs/>
          <w:sz w:val="24"/>
          <w:szCs w:val="24"/>
        </w:rPr>
        <w:t>M</w:t>
      </w:r>
      <w:r>
        <w:rPr>
          <w:rFonts w:hint="default" w:ascii="Times New Roman" w:hAnsi="Times New Roman" w:eastAsia="SimSun" w:cs="Times New Roman"/>
          <w:b/>
          <w:bCs/>
          <w:sz w:val="24"/>
          <w:szCs w:val="24"/>
          <w:lang w:val="en-US"/>
        </w:rPr>
        <w:t>EDIA</w:t>
      </w:r>
      <w:r>
        <w:rPr>
          <w:rFonts w:hint="default" w:ascii="Times New Roman" w:hAnsi="Times New Roman" w:eastAsia="SimSun" w:cs="Times New Roman"/>
          <w:b/>
          <w:bCs/>
          <w:sz w:val="24"/>
          <w:szCs w:val="24"/>
        </w:rPr>
        <w:t xml:space="preserve"> F</w:t>
      </w:r>
      <w:r>
        <w:rPr>
          <w:rFonts w:hint="default" w:ascii="Times New Roman" w:hAnsi="Times New Roman" w:eastAsia="SimSun" w:cs="Times New Roman"/>
          <w:b/>
          <w:bCs/>
          <w:sz w:val="24"/>
          <w:szCs w:val="24"/>
          <w:lang w:val="en-US"/>
        </w:rPr>
        <w:t>LASHCARD BERBASIS</w:t>
      </w:r>
      <w:r>
        <w:rPr>
          <w:rFonts w:ascii="Times New Roman" w:hAnsi="Times New Roman" w:cs="Times New Roman"/>
          <w:b/>
          <w:bCs/>
        </w:rPr>
        <w:t xml:space="preserve"> </w:t>
      </w:r>
      <w:r>
        <w:rPr>
          <w:rFonts w:ascii="Times New Roman" w:hAnsi="Times New Roman" w:cs="Times New Roman"/>
          <w:b/>
          <w:bCs/>
          <w:sz w:val="24"/>
          <w:szCs w:val="24"/>
        </w:rPr>
        <w:t>H</w:t>
      </w:r>
      <w:r>
        <w:rPr>
          <w:rFonts w:hint="default" w:ascii="Times New Roman" w:hAnsi="Times New Roman" w:cs="Times New Roman"/>
          <w:b/>
          <w:bCs/>
          <w:sz w:val="24"/>
          <w:szCs w:val="24"/>
          <w:lang w:val="en-US"/>
        </w:rPr>
        <w:t>EALTH</w:t>
      </w:r>
      <w:r>
        <w:rPr>
          <w:rFonts w:ascii="Times New Roman" w:hAnsi="Times New Roman" w:cs="Times New Roman"/>
          <w:b/>
          <w:bCs/>
          <w:sz w:val="24"/>
          <w:szCs w:val="24"/>
        </w:rPr>
        <w:t xml:space="preserve"> B</w:t>
      </w:r>
      <w:r>
        <w:rPr>
          <w:rFonts w:hint="default" w:ascii="Times New Roman" w:hAnsi="Times New Roman" w:cs="Times New Roman"/>
          <w:b/>
          <w:bCs/>
          <w:sz w:val="24"/>
          <w:szCs w:val="24"/>
          <w:lang w:val="en-US"/>
        </w:rPr>
        <w:t>ELIEF</w:t>
      </w:r>
      <w:r>
        <w:rPr>
          <w:rFonts w:ascii="Times New Roman" w:hAnsi="Times New Roman" w:cs="Times New Roman"/>
          <w:b/>
          <w:bCs/>
          <w:sz w:val="24"/>
          <w:szCs w:val="24"/>
        </w:rPr>
        <w:t xml:space="preserve"> M</w:t>
      </w:r>
      <w:r>
        <w:rPr>
          <w:rFonts w:hint="default" w:ascii="Times New Roman" w:hAnsi="Times New Roman" w:cs="Times New Roman"/>
          <w:b/>
          <w:bCs/>
          <w:sz w:val="24"/>
          <w:szCs w:val="24"/>
          <w:lang w:val="en-US"/>
        </w:rPr>
        <w:t>ODEL</w:t>
      </w:r>
      <w:r>
        <w:rPr>
          <w:rFonts w:hint="default" w:ascii="Times New Roman" w:hAnsi="Times New Roman" w:cs="Times New Roman"/>
          <w:b/>
          <w:bCs/>
          <w:lang w:val="en-US"/>
        </w:rPr>
        <w:t xml:space="preserve"> </w:t>
      </w:r>
      <w:r>
        <w:rPr>
          <w:rFonts w:ascii="Times New Roman" w:hAnsi="Times New Roman" w:cs="Times New Roman"/>
          <w:b/>
          <w:bCs/>
        </w:rPr>
        <w:t>T</w:t>
      </w:r>
      <w:r>
        <w:rPr>
          <w:rFonts w:hint="default" w:ascii="Times New Roman" w:hAnsi="Times New Roman" w:cs="Times New Roman"/>
          <w:b/>
          <w:bCs/>
          <w:lang w:val="en-US"/>
        </w:rPr>
        <w:t>ERHADAP</w:t>
      </w:r>
      <w:r>
        <w:rPr>
          <w:rFonts w:ascii="Times New Roman" w:hAnsi="Times New Roman" w:cs="Times New Roman"/>
          <w:b/>
          <w:bCs/>
        </w:rPr>
        <w:t xml:space="preserve"> T</w:t>
      </w:r>
      <w:r>
        <w:rPr>
          <w:rFonts w:hint="default" w:ascii="Times New Roman" w:hAnsi="Times New Roman" w:cs="Times New Roman"/>
          <w:b/>
          <w:bCs/>
          <w:lang w:val="en-US"/>
        </w:rPr>
        <w:t>INDAKAN</w:t>
      </w:r>
      <w:r>
        <w:rPr>
          <w:rFonts w:ascii="Times New Roman" w:hAnsi="Times New Roman" w:cs="Times New Roman"/>
          <w:b/>
          <w:bCs/>
        </w:rPr>
        <w:t xml:space="preserve"> D</w:t>
      </w:r>
      <w:r>
        <w:rPr>
          <w:rFonts w:hint="default" w:ascii="Times New Roman" w:hAnsi="Times New Roman" w:cs="Times New Roman"/>
          <w:b/>
          <w:bCs/>
          <w:lang w:val="en-US"/>
        </w:rPr>
        <w:t>ETEKSI</w:t>
      </w:r>
      <w:r>
        <w:rPr>
          <w:rFonts w:ascii="Times New Roman" w:hAnsi="Times New Roman" w:cs="Times New Roman"/>
          <w:b/>
          <w:bCs/>
        </w:rPr>
        <w:t xml:space="preserve"> D</w:t>
      </w:r>
      <w:r>
        <w:rPr>
          <w:rFonts w:hint="default" w:ascii="Times New Roman" w:hAnsi="Times New Roman" w:cs="Times New Roman"/>
          <w:b/>
          <w:bCs/>
          <w:lang w:val="en-US"/>
        </w:rPr>
        <w:t>INI</w:t>
      </w:r>
      <w:r>
        <w:rPr>
          <w:rFonts w:ascii="Times New Roman" w:hAnsi="Times New Roman" w:cs="Times New Roman"/>
          <w:b/>
          <w:bCs/>
        </w:rPr>
        <w:t xml:space="preserve"> K</w:t>
      </w:r>
      <w:r>
        <w:rPr>
          <w:rFonts w:hint="default" w:ascii="Times New Roman" w:hAnsi="Times New Roman" w:cs="Times New Roman"/>
          <w:b/>
          <w:bCs/>
          <w:lang w:val="en-US"/>
        </w:rPr>
        <w:t>ANKER</w:t>
      </w:r>
      <w:r>
        <w:rPr>
          <w:rFonts w:ascii="Times New Roman" w:hAnsi="Times New Roman" w:cs="Times New Roman"/>
          <w:b/>
          <w:bCs/>
        </w:rPr>
        <w:t xml:space="preserve"> P</w:t>
      </w:r>
      <w:r>
        <w:rPr>
          <w:rFonts w:hint="default" w:ascii="Times New Roman" w:hAnsi="Times New Roman" w:cs="Times New Roman"/>
          <w:b/>
          <w:bCs/>
          <w:lang w:val="en-US"/>
        </w:rPr>
        <w:t>AYUDARA</w:t>
      </w:r>
      <w:r>
        <w:rPr>
          <w:rFonts w:ascii="Times New Roman" w:hAnsi="Times New Roman" w:cs="Times New Roman"/>
          <w:b/>
          <w:bCs/>
        </w:rPr>
        <w:t xml:space="preserve"> P</w:t>
      </w:r>
      <w:r>
        <w:rPr>
          <w:rFonts w:hint="default" w:ascii="Times New Roman" w:hAnsi="Times New Roman" w:cs="Times New Roman"/>
          <w:b/>
          <w:bCs/>
          <w:lang w:val="en-US"/>
        </w:rPr>
        <w:t>ADA</w:t>
      </w:r>
      <w:r>
        <w:rPr>
          <w:rFonts w:ascii="Times New Roman" w:hAnsi="Times New Roman" w:cs="Times New Roman"/>
          <w:b/>
          <w:bCs/>
        </w:rPr>
        <w:t xml:space="preserve"> R</w:t>
      </w:r>
      <w:r>
        <w:rPr>
          <w:rFonts w:hint="default" w:ascii="Times New Roman" w:hAnsi="Times New Roman" w:cs="Times New Roman"/>
          <w:b/>
          <w:bCs/>
          <w:lang w:val="en-US"/>
        </w:rPr>
        <w:t>EMAJA</w:t>
      </w:r>
      <w:r>
        <w:rPr>
          <w:rFonts w:ascii="Times New Roman" w:hAnsi="Times New Roman" w:cs="Times New Roman"/>
          <w:b/>
          <w:bCs/>
        </w:rPr>
        <w:t xml:space="preserve"> P</w:t>
      </w:r>
      <w:r>
        <w:rPr>
          <w:rFonts w:hint="default" w:ascii="Times New Roman" w:hAnsi="Times New Roman" w:cs="Times New Roman"/>
          <w:b/>
          <w:bCs/>
          <w:lang w:val="en-US"/>
        </w:rPr>
        <w:t>UTRI</w:t>
      </w:r>
    </w:p>
    <w:p w14:paraId="11090F8A">
      <w:pPr>
        <w:keepNext w:val="0"/>
        <w:keepLines w:val="0"/>
        <w:widowControl/>
        <w:suppressLineNumbers w:val="0"/>
        <w:spacing w:line="480" w:lineRule="auto"/>
        <w:jc w:val="center"/>
        <w:rPr>
          <w:rFonts w:hint="default" w:ascii="Times New Roman" w:hAnsi="Times New Roman" w:eastAsia="Merriweather-Bold" w:cs="Times New Roman"/>
          <w:b/>
          <w:bCs/>
          <w:color w:val="212121"/>
          <w:kern w:val="0"/>
          <w:sz w:val="24"/>
          <w:szCs w:val="24"/>
          <w:lang w:val="en-US" w:eastAsia="zh-CN"/>
          <w14:ligatures w14:val="standardContextual"/>
        </w:rPr>
      </w:pPr>
      <w:r>
        <w:rPr>
          <w:rFonts w:hint="default" w:ascii="Times New Roman" w:hAnsi="Times New Roman" w:eastAsia="Merriweather-Bold"/>
          <w:b/>
          <w:bCs/>
          <w:color w:val="212121"/>
          <w:kern w:val="0"/>
          <w:sz w:val="24"/>
          <w:szCs w:val="24"/>
          <w:lang w:val="en-US" w:eastAsia="zh-CN"/>
          <w14:ligatures w14:val="standardContextual"/>
        </w:rPr>
        <w:t>Ni Nyoman Ratih Leonita</w:t>
      </w:r>
      <w:r>
        <w:rPr>
          <w:rFonts w:hint="default" w:ascii="Times New Roman" w:hAnsi="Times New Roman" w:eastAsia="Merriweather-Bold" w:cs="Times New Roman"/>
          <w:b/>
          <w:bCs/>
          <w:color w:val="212121"/>
          <w:kern w:val="0"/>
          <w:sz w:val="24"/>
          <w:szCs w:val="24"/>
          <w:lang w:val="en-US" w:eastAsia="zh-CN"/>
          <w14:ligatures w14:val="standardContextual"/>
        </w:rPr>
        <w:t xml:space="preserve">¹ , </w:t>
      </w:r>
      <w:r>
        <w:rPr>
          <w:rFonts w:hint="default" w:ascii="Times New Roman" w:hAnsi="Times New Roman" w:eastAsia="Merriweather-Bold"/>
          <w:b/>
          <w:bCs/>
          <w:color w:val="212121"/>
          <w:kern w:val="0"/>
          <w:sz w:val="24"/>
          <w:szCs w:val="24"/>
          <w:lang w:val="en-US" w:eastAsia="zh-CN"/>
          <w14:ligatures w14:val="standardContextual"/>
        </w:rPr>
        <w:t>Ketut Lisnawati I</w:t>
      </w:r>
      <w:r>
        <w:rPr>
          <w:rFonts w:hint="default" w:ascii="Times New Roman" w:hAnsi="Times New Roman" w:eastAsia="Merriweather-Bold" w:cs="Times New Roman"/>
          <w:b/>
          <w:bCs/>
          <w:color w:val="212121"/>
          <w:kern w:val="0"/>
          <w:sz w:val="24"/>
          <w:szCs w:val="24"/>
          <w:lang w:val="en-US" w:eastAsia="zh-CN"/>
          <w14:ligatures w14:val="standardContextual"/>
        </w:rPr>
        <w:t>² , Ni Ketut Citrawati II³</w:t>
      </w:r>
    </w:p>
    <w:p w14:paraId="7EC9AB12">
      <w:pPr>
        <w:pStyle w:val="5"/>
        <w:keepNext w:val="0"/>
        <w:keepLines w:val="0"/>
        <w:widowControl/>
        <w:suppressLineNumbers w:val="0"/>
        <w:spacing w:line="360" w:lineRule="auto"/>
        <w:ind w:firstLine="720" w:firstLineChars="0"/>
        <w:jc w:val="both"/>
      </w:pPr>
      <w:r>
        <w:t xml:space="preserve">Kanker payudara merupakan salah satu penyebab utama kematian pada perempuan di dunia, termasuk di Indonesia. Deteksi dini melalui pemeriksaan payudara sendiri (SADARI) terbukti efektif dalam menurunkan angka kematian akibat kanker payudara. Namun demikian, kesadaran dan tindakan deteksi dini di kalangan remaja putri masih rendah. Pendidikan kesehatan berbasis </w:t>
      </w:r>
      <w:r>
        <w:rPr>
          <w:rStyle w:val="4"/>
        </w:rPr>
        <w:t>Health Belief Model</w:t>
      </w:r>
      <w:r>
        <w:t xml:space="preserve"> (HBM) dengan media flashcard diharapkan mampu meningkatkan tindakan deteksi dini pada kelompok ini. Penelitian ini bertujuan untuk mengetahui pengaruh pendidikan kesehatan menggunakan media flashcard berbasis Health Belief Model terhadap tindakan deteksi dini kanker payudara pada remaja putri. Penelitian ini menggunakan desain kuasi-eksperimen dengan pendekatan pre-test dan post-test kelompok kontrol. Sampel terdiri dari remaja putri berusia 15–18 tahun. Kelompok intervensi diberikan pendidikan menggunakan media flashcard berbasis HBM, sedangkan kelompok kontrol tidak diberikan intervensi serupa. Data dianalisis menggunakan uji Wilcoxon dan Mann-Whitney. Hasil penelitian menunjukkan adanya peningkatan yang signifikan pada skor tindakan deteksi dini dalam kelompok intervensi dibandingkan dengan kelompok kontrol (p &lt; 0,05). Aspek </w:t>
      </w:r>
      <w:r>
        <w:rPr>
          <w:rStyle w:val="4"/>
        </w:rPr>
        <w:t>perceived susceptibility</w:t>
      </w:r>
      <w:r>
        <w:t xml:space="preserve">, </w:t>
      </w:r>
      <w:r>
        <w:rPr>
          <w:rStyle w:val="4"/>
        </w:rPr>
        <w:t>perceived benefits</w:t>
      </w:r>
      <w:r>
        <w:t xml:space="preserve">, dan </w:t>
      </w:r>
      <w:r>
        <w:rPr>
          <w:rStyle w:val="4"/>
        </w:rPr>
        <w:t>self-efficacy</w:t>
      </w:r>
      <w:r>
        <w:t xml:space="preserve"> menunjukkan perubahan yang positif setelah intervensi. Kesimpulannya, pendidikan kesehatan dengan media flashcard berbasis Health Belief Model efektif dalam meningkatkan tindakan deteksi dini kanker payudara pada remaja putri. Intervensi ini dapat diimplementasikan di lingkungan sekolah untuk meningkatkan kesadaran sejak dini.</w:t>
      </w:r>
    </w:p>
    <w:p w14:paraId="7C84A557">
      <w:pPr>
        <w:pStyle w:val="5"/>
        <w:keepNext w:val="0"/>
        <w:keepLines w:val="0"/>
        <w:widowControl/>
        <w:suppressLineNumbers w:val="0"/>
        <w:spacing w:line="360" w:lineRule="auto"/>
        <w:jc w:val="both"/>
        <w:rPr>
          <w:rFonts w:hint="default" w:ascii="Times New Roman" w:hAnsi="Times New Roman" w:eastAsia=".SFUI" w:cs="Times New Roman"/>
          <w:i/>
          <w:iCs/>
          <w:color w:val="212121"/>
          <w:kern w:val="0"/>
          <w:sz w:val="24"/>
          <w:szCs w:val="24"/>
          <w:lang w:val="en-US" w:eastAsia="zh-CN" w:bidi="ar"/>
          <w14:ligatures w14:val="standardContextual"/>
        </w:rPr>
      </w:pPr>
      <w:r>
        <w:rPr>
          <w:rStyle w:val="6"/>
        </w:rPr>
        <w:t>Kata kunci:</w:t>
      </w:r>
      <w:r>
        <w:t xml:space="preserve"> Flashcard, Health Belief Model, Deteksi Dini, Kanker Payudara, Remaja Putri</w:t>
      </w:r>
    </w:p>
    <w:p w14:paraId="2DE005CA">
      <w:pPr>
        <w:keepNext w:val="0"/>
        <w:keepLines w:val="0"/>
        <w:widowControl/>
        <w:suppressLineNumbers w:val="0"/>
        <w:spacing w:line="360" w:lineRule="auto"/>
        <w:jc w:val="center"/>
        <w:rPr>
          <w:rFonts w:hint="default" w:ascii="Times New Roman" w:hAnsi="Times New Roman" w:eastAsia=".SFUI" w:cs="Times New Roman"/>
          <w:i/>
          <w:iCs/>
          <w:color w:val="212121"/>
          <w:kern w:val="0"/>
          <w:sz w:val="24"/>
          <w:szCs w:val="24"/>
          <w:lang w:val="en-US" w:eastAsia="zh-CN" w:bidi="ar"/>
          <w14:ligatures w14:val="standardContextual"/>
        </w:rPr>
      </w:pPr>
    </w:p>
    <w:p w14:paraId="547D130E">
      <w:pPr>
        <w:jc w:val="both"/>
        <w:rPr>
          <w:rFonts w:hint="default" w:ascii="Times New Roman" w:hAnsi="Times New Roman" w:cs="Times New Roman"/>
          <w:sz w:val="24"/>
          <w:szCs w:val="24"/>
        </w:rPr>
      </w:pPr>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erriweather-Bold">
    <w:altName w:val="Segoe Print"/>
    <w:panose1 w:val="00000000000000000000"/>
    <w:charset w:val="00"/>
    <w:family w:val="auto"/>
    <w:pitch w:val="default"/>
    <w:sig w:usb0="00000000" w:usb1="00000000" w:usb2="00000000" w:usb3="00000000" w:csb0="00000000" w:csb1="00000000"/>
  </w:font>
  <w:font w:name="TimesNewRomanPS-BoldItalicMT">
    <w:altName w:val="Segoe Print"/>
    <w:panose1 w:val="00000000000000000000"/>
    <w:charset w:val="00"/>
    <w:family w:val="auto"/>
    <w:pitch w:val="default"/>
    <w:sig w:usb0="00000000" w:usb1="00000000" w:usb2="00000000" w:usb3="00000000" w:csb0="00000000" w:csb1="00000000"/>
  </w:font>
  <w:font w:name=".SFUI">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E424A"/>
    <w:rsid w:val="04CE4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30"/>
      <w:lang w:val="en-US" w:eastAsia="en-US" w:bidi="th-TH"/>
      <w14:ligatures w14:val="standardContextual"/>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2"/>
    <w:qFormat/>
    <w:uiPriority w:val="0"/>
    <w:rPr>
      <w:b/>
      <w:bCs/>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2025-07-22T03:13:00Z</dcterms:created>
  <dc:creator>danu Kertiyasa16</dc:creator>
  <cp:lastModifiedBy>danu Kertiyasa16</cp:lastModifiedBy>
  <dcterms:modified xsi:type="dcterms:W3CDTF">2025-07-22T03:14:34Z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2BA7C0AD6848427995A4AADD2D6A0407_11</vt:lpwstr>
  </property>
</Properties>
</file>