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471D" w:rsidRDefault="00B2471D" w:rsidP="00B2471D">
      <w:pPr>
        <w:spacing w:after="0" w:line="480" w:lineRule="auto"/>
        <w:jc w:val="center"/>
        <w:rPr>
          <w:rFonts w:ascii="Times New Roman" w:hAnsi="Times New Roman" w:cs="Times New Roman"/>
          <w:b/>
          <w:iCs/>
          <w:sz w:val="24"/>
          <w:szCs w:val="24"/>
        </w:rPr>
      </w:pPr>
      <w:r>
        <w:rPr>
          <w:rFonts w:ascii="Times New Roman" w:hAnsi="Times New Roman" w:cs="Times New Roman"/>
          <w:b/>
          <w:iCs/>
          <w:sz w:val="24"/>
          <w:szCs w:val="24"/>
        </w:rPr>
        <w:t>BAB IV</w:t>
      </w:r>
    </w:p>
    <w:p w:rsidR="00B2471D" w:rsidRDefault="00B2471D" w:rsidP="00B2471D">
      <w:pPr>
        <w:spacing w:after="0" w:line="480" w:lineRule="auto"/>
        <w:jc w:val="center"/>
        <w:rPr>
          <w:rFonts w:ascii="Times New Roman" w:hAnsi="Times New Roman" w:cs="Times New Roman"/>
          <w:b/>
          <w:iCs/>
          <w:sz w:val="24"/>
          <w:szCs w:val="24"/>
        </w:rPr>
      </w:pPr>
      <w:r>
        <w:rPr>
          <w:rFonts w:ascii="Times New Roman" w:hAnsi="Times New Roman" w:cs="Times New Roman"/>
          <w:b/>
          <w:iCs/>
          <w:sz w:val="24"/>
          <w:szCs w:val="24"/>
        </w:rPr>
        <w:t>HASIL DAN PEMBAHASAN</w:t>
      </w:r>
    </w:p>
    <w:p w:rsidR="00B2471D" w:rsidRDefault="00B2471D" w:rsidP="00B2471D">
      <w:pPr>
        <w:spacing w:after="0" w:line="480" w:lineRule="auto"/>
        <w:jc w:val="center"/>
        <w:rPr>
          <w:rFonts w:ascii="Times New Roman" w:hAnsi="Times New Roman" w:cs="Times New Roman"/>
          <w:b/>
          <w:iCs/>
          <w:sz w:val="24"/>
          <w:szCs w:val="24"/>
        </w:rPr>
      </w:pPr>
    </w:p>
    <w:p w:rsidR="00B2471D" w:rsidRDefault="00B2471D" w:rsidP="00B2471D">
      <w:pPr>
        <w:spacing w:after="0" w:line="480" w:lineRule="auto"/>
        <w:ind w:left="0"/>
        <w:jc w:val="both"/>
        <w:rPr>
          <w:rFonts w:ascii="Times New Roman" w:hAnsi="Times New Roman" w:cs="Times New Roman"/>
          <w:b/>
          <w:iCs/>
          <w:sz w:val="24"/>
          <w:szCs w:val="24"/>
        </w:rPr>
      </w:pPr>
      <w:r>
        <w:rPr>
          <w:rFonts w:ascii="Times New Roman" w:hAnsi="Times New Roman" w:cs="Times New Roman"/>
          <w:b/>
          <w:iCs/>
          <w:sz w:val="24"/>
          <w:szCs w:val="24"/>
        </w:rPr>
        <w:t>4.1. Gambaran Lokasi Penelitian</w:t>
      </w:r>
    </w:p>
    <w:p w:rsidR="00B2471D" w:rsidRPr="00B46224" w:rsidRDefault="00B2471D" w:rsidP="00B2471D">
      <w:pPr>
        <w:pStyle w:val="NormalWeb"/>
        <w:spacing w:before="0" w:beforeAutospacing="0" w:after="0" w:afterAutospacing="0" w:line="480" w:lineRule="auto"/>
        <w:jc w:val="both"/>
      </w:pPr>
      <w:r>
        <w:rPr>
          <w:b/>
          <w:iCs/>
        </w:rPr>
        <w:tab/>
      </w:r>
      <w:r w:rsidRPr="00B46224">
        <w:rPr>
          <w:rStyle w:val="fadeinm1hgl8"/>
          <w:rFonts w:eastAsiaTheme="majorEastAsia"/>
        </w:rPr>
        <w:t>Lokasi penelitian ini berada di Banjar Dinas Batang, salah satu dari sebelas banjar dinas yang termasuk dalam wilayah administrasi Desa Besakih, Kecamatan Renda</w:t>
      </w:r>
      <w:r>
        <w:rPr>
          <w:rStyle w:val="fadeinm1hgl8"/>
          <w:rFonts w:eastAsiaTheme="majorEastAsia"/>
        </w:rPr>
        <w:t>ng, Kabupaten Karangasem, Bali</w:t>
      </w:r>
      <w:r w:rsidRPr="00B46224">
        <w:t>.</w:t>
      </w:r>
      <w:r>
        <w:t xml:space="preserve"> </w:t>
      </w:r>
      <w:r w:rsidRPr="00B46224">
        <w:rPr>
          <w:rStyle w:val="fadeinm1hgl8"/>
          <w:rFonts w:eastAsiaTheme="majorEastAsia"/>
        </w:rPr>
        <w:t>Wilayah ini terletak di lereng selatan Gunung Agung, gunung tertinggi dan paling sakral di Bali. Secara topografis, Banjar Dinas Batang berada di ketinggian sekitar 1.000 meter di atas permukaan laut, dengan kondisi geografis berbukit yang didominasi oleh lahan pertanian, hutan, dan pemukiman penduduk yang tersebar. Keberadaan banjar ini memiliki nilai strategis karena dekat dengan kawasan suci Pura Agung Besakih</w:t>
      </w:r>
      <w:r>
        <w:rPr>
          <w:rStyle w:val="fadeinm1hgl8"/>
          <w:rFonts w:eastAsiaTheme="majorEastAsia"/>
        </w:rPr>
        <w:t xml:space="preserve"> </w:t>
      </w:r>
      <w:r>
        <w:fldChar w:fldCharType="begin" w:fldLock="1"/>
      </w:r>
      <w:r>
        <w:instrText>ADDIN CSL_CITATION {"citationItems":[{"id":"ITEM-1","itemData":{"DOI":"10.14710/tataloka.22.2.212-221","ISSN":"0852-7458","abstract":"Tourism has become a leading sector for Bali Province, especially Karangasem. Karangasem Regency continues to improve itself by continuing to develop tourism potential that has both the potential of nature, culture and customs. Bali Provincial Government in 2015-2018 through the Bali Mandara Volume II Program launched the establishment of 100 tourism villages, one of which was Temukus-Besakih Village. The purpose of this study is to develop and empower the people of Temukus-Besakih Village to support village-based tourism. The method used in this study is interpretative naturalistic, with the following steps: grand tours, observations, surveys, and literature studies with literature relating to the topic of research. The results showed the potential possessed by Temukus-Besakih Village in realizing tourism villages seen from the criteria of tourist villages, among others: attractions, distance traveled, religion, and infrastructure availability. The basic concept of developing Temukus-Besakih Village as a tourism village is \"Sustainable Tourism Village\". The concept of development of the basic concept consists of spatial plans, namely: environmental zones, socio-cultural zones, and economic zones.","author":[{"dropping-particle":"","family":"Ningsih","given":"Ni Putu Diah Untari","non-dropping-particle":"","parse-names":false,"suffix":""},{"dropping-particle":"","family":"Soenarto","given":"Soenarto","non-dropping-particle":"","parse-names":false,"suffix":""},{"dropping-particle":"","family":"Sugiyono","given":"Sugiyono","non-dropping-particle":"","parse-names":false,"suffix":""}],"container-title":"Tataloka","id":"ITEM-1","issue":"2","issued":{"date-parts":[["2020"]]},"page":"212-221","title":"Pengembangan dan Pemberdayaan Masyarakat Desa Temukus-Besakih, Karangasem, Bali untuk Mendukung Pariwisata Berbasis Desa Wisata","type":"article-journal","volume":"22"},"uris":["http://www.mendeley.com/documents/?uuid=c427f912-c53f-4161-b3c9-473a50abb3af"]}],"mendeley":{"formattedCitation":"(Ningsih et al., 2020)","plainTextFormattedCitation":"(Ningsih et al., 2020)","previouslyFormattedCitation":"(Ningsih, Soenarto, and Sugiyono 2020)"},"properties":{"noteIndex":0},"schema":"https://github.com/citation-style-language/schema/raw/master/csl-citation.json"}</w:instrText>
      </w:r>
      <w:r>
        <w:fldChar w:fldCharType="separate"/>
      </w:r>
      <w:r w:rsidRPr="000C4EC8">
        <w:rPr>
          <w:noProof/>
        </w:rPr>
        <w:t>(Ningsih et al., 2020)</w:t>
      </w:r>
      <w:r>
        <w:fldChar w:fldCharType="end"/>
      </w:r>
      <w:r>
        <w:t>.</w:t>
      </w:r>
    </w:p>
    <w:p w:rsidR="00B2471D" w:rsidRPr="00B46224" w:rsidRDefault="00B2471D" w:rsidP="00B2471D">
      <w:pPr>
        <w:pStyle w:val="NormalWeb"/>
        <w:spacing w:before="0" w:beforeAutospacing="0" w:after="0" w:afterAutospacing="0" w:line="480" w:lineRule="auto"/>
        <w:jc w:val="both"/>
      </w:pPr>
      <w:r>
        <w:rPr>
          <w:rStyle w:val="fadeinm1hgl8"/>
          <w:rFonts w:eastAsiaTheme="majorEastAsia"/>
        </w:rPr>
        <w:tab/>
      </w:r>
      <w:r w:rsidRPr="00B46224">
        <w:rPr>
          <w:rStyle w:val="fadeinm1hgl8"/>
          <w:rFonts w:eastAsiaTheme="majorEastAsia"/>
        </w:rPr>
        <w:t>Aksesibilitas menuju Banjar Dinas Batang cukup baik, meskipun terbatas pada jalur-jalur sempit. Lokasi ini dapat dijangkau melalui jalur utama menuju Pura Besakih dari arah Klungkung atau Rendang, kemudian dilanjutkan dengan jalan desa menuju wilayah banjar. Jalan di sekitar wilayah ini terdiri dari aspal sempit dan beberapa jalur tanah, terutama di wilayah pertanian dan perbukitan. Kondisi ini memberikan tantangan tersendiri terutama saat musim hujan, karena sebagian jalur menjadi licin dan sulit dilalui kendaraan bermotor</w:t>
      </w:r>
      <w:r>
        <w:rPr>
          <w:rStyle w:val="fadeinm1hgl8"/>
          <w:rFonts w:eastAsiaTheme="majorEastAsia"/>
        </w:rPr>
        <w:t xml:space="preserve"> </w:t>
      </w:r>
      <w:r>
        <w:fldChar w:fldCharType="begin" w:fldLock="1"/>
      </w:r>
      <w:r>
        <w:instrText>ADDIN CSL_CITATION {"citationItems":[{"id":"ITEM-1","itemData":{"DOI":"10.14710/tataloka.22.2.212-221","ISSN":"0852-7458","abstract":"Tourism has become a leading sector for Bali Province, especially Karangasem. Karangasem Regency continues to improve itself by continuing to develop tourism potential that has both the potential of nature, culture and customs. Bali Provincial Government in 2015-2018 through the Bali Mandara Volume II Program launched the establishment of 100 tourism villages, one of which was Temukus-Besakih Village. The purpose of this study is to develop and empower the people of Temukus-Besakih Village to support village-based tourism. The method used in this study is interpretative naturalistic, with the following steps: grand tours, observations, surveys, and literature studies with literature relating to the topic of research. The results showed the potential possessed by Temukus-Besakih Village in realizing tourism villages seen from the criteria of tourist villages, among others: attractions, distance traveled, religion, and infrastructure availability. The basic concept of developing Temukus-Besakih Village as a tourism village is \"Sustainable Tourism Village\". The concept of development of the basic concept consists of spatial plans, namely: environmental zones, socio-cultural zones, and economic zones.","author":[{"dropping-particle":"","family":"Ningsih","given":"Ni Putu Diah Untari","non-dropping-particle":"","parse-names":false,"suffix":""},{"dropping-particle":"","family":"Soenarto","given":"Soenarto","non-dropping-particle":"","parse-names":false,"suffix":""},{"dropping-particle":"","family":"Sugiyono","given":"Sugiyono","non-dropping-particle":"","parse-names":false,"suffix":""}],"container-title":"Tataloka","id":"ITEM-1","issue":"2","issued":{"date-parts":[["2020"]]},"page":"212-221","title":"Pengembangan dan Pemberdayaan Masyarakat Desa Temukus-Besakih, Karangasem, Bali untuk Mendukung Pariwisata Berbasis Desa Wisata","type":"article-journal","volume":"22"},"uris":["http://www.mendeley.com/documents/?uuid=c427f912-c53f-4161-b3c9-473a50abb3af"]}],"mendeley":{"formattedCitation":"(Ningsih et al., 2020)","plainTextFormattedCitation":"(Ningsih et al., 2020)","previouslyFormattedCitation":"(Ningsih, Soenarto, and Sugiyono 2020)"},"properties":{"noteIndex":0},"schema":"https://github.com/citation-style-language/schema/raw/master/csl-citation.json"}</w:instrText>
      </w:r>
      <w:r>
        <w:fldChar w:fldCharType="separate"/>
      </w:r>
      <w:r w:rsidRPr="000C4EC8">
        <w:rPr>
          <w:noProof/>
        </w:rPr>
        <w:t>(Ningsih et al., 2020)</w:t>
      </w:r>
      <w:r>
        <w:fldChar w:fldCharType="end"/>
      </w:r>
      <w:r>
        <w:t>.</w:t>
      </w:r>
    </w:p>
    <w:p w:rsidR="00B2471D" w:rsidRDefault="00B2471D" w:rsidP="00B2471D">
      <w:pPr>
        <w:pStyle w:val="NormalWeb"/>
        <w:spacing w:before="0" w:beforeAutospacing="0" w:after="0" w:afterAutospacing="0" w:line="480" w:lineRule="auto"/>
        <w:jc w:val="both"/>
        <w:rPr>
          <w:rStyle w:val="fadeinm1hgl8"/>
          <w:rFonts w:eastAsiaTheme="majorEastAsia"/>
        </w:rPr>
        <w:sectPr w:rsidR="00B2471D" w:rsidSect="00205FA2">
          <w:headerReference w:type="default" r:id="rId5"/>
          <w:footerReference w:type="default" r:id="rId6"/>
          <w:pgSz w:w="11907" w:h="16839" w:code="9"/>
          <w:pgMar w:top="1701" w:right="1701" w:bottom="1701" w:left="2268" w:header="720" w:footer="720" w:gutter="0"/>
          <w:pgNumType w:start="25"/>
          <w:cols w:space="708"/>
          <w:docGrid w:linePitch="360"/>
        </w:sectPr>
      </w:pPr>
      <w:r>
        <w:rPr>
          <w:rStyle w:val="fadeinm1hgl8"/>
          <w:rFonts w:eastAsiaTheme="majorEastAsia"/>
        </w:rPr>
        <w:tab/>
      </w:r>
      <w:r w:rsidRPr="00B46224">
        <w:rPr>
          <w:rStyle w:val="fadeinm1hgl8"/>
          <w:rFonts w:eastAsiaTheme="majorEastAsia"/>
        </w:rPr>
        <w:t xml:space="preserve">Lingkungan alam di Banjar Dinas Batang memiliki karakteristik iklim pegunungan yang sejuk dan lembap, dengan curah hujan yang cukup tinggi sepanjang tahun. Tanahnya subur dan dimanfaatkan oleh masyarakat setempat </w:t>
      </w:r>
    </w:p>
    <w:p w:rsidR="00B2471D" w:rsidRPr="00B46224" w:rsidRDefault="00B2471D" w:rsidP="00B2471D">
      <w:pPr>
        <w:pStyle w:val="NormalWeb"/>
        <w:spacing w:before="0" w:beforeAutospacing="0" w:after="0" w:afterAutospacing="0" w:line="480" w:lineRule="auto"/>
        <w:jc w:val="both"/>
      </w:pPr>
      <w:r w:rsidRPr="00B46224">
        <w:rPr>
          <w:rStyle w:val="fadeinm1hgl8"/>
          <w:rFonts w:eastAsiaTheme="majorEastAsia"/>
        </w:rPr>
        <w:lastRenderedPageBreak/>
        <w:t>untuk pertanian, seperti tanaman hortikultura, kopi, dan umbi-umbian. Sumber air diperoleh dari mata air alami pegunungan serta sistem irigasi tradisional (subak) yang masih aktif digunakan oleh petani lokal. Keberlangsungan sistem pertanian dan pengelolaan air yang tradisional menjadi salah satu potensi penting untuk dikaji dalam penelitian</w:t>
      </w:r>
      <w:r>
        <w:rPr>
          <w:rStyle w:val="fadeinm1hgl8"/>
          <w:rFonts w:eastAsiaTheme="majorEastAsia"/>
        </w:rPr>
        <w:t xml:space="preserve"> </w:t>
      </w:r>
      <w:r>
        <w:rPr>
          <w:rStyle w:val="fadeinm1hgl8"/>
          <w:rFonts w:eastAsiaTheme="majorEastAsia"/>
        </w:rPr>
        <w:fldChar w:fldCharType="begin" w:fldLock="1"/>
      </w:r>
      <w:r>
        <w:rPr>
          <w:rStyle w:val="fadeinm1hgl8"/>
          <w:rFonts w:eastAsiaTheme="majorEastAsia"/>
        </w:rPr>
        <w:instrText>ADDIN CSL_CITATION {"citationItems":[{"id":"ITEM-1","itemData":{"author":[{"dropping-particle":"","family":"Wijaya","given":"W. Kandi","non-dropping-particle":"","parse-names":false,"suffix":""}],"id":"ITEM-1","issued":{"date-parts":[["2014"]]},"number-of-pages":"1-470","title":"Panca Bali Krama Besakih","type":"book"},"uris":["http://www.mendeley.com/documents/?uuid=84a8a238-89fe-4283-8d10-8ae7ff108cf8"]}],"mendeley":{"formattedCitation":"(Wijaya, 2014)","plainTextFormattedCitation":"(Wijaya, 2014)","previouslyFormattedCitation":"(Wijaya 2014)"},"properties":{"noteIndex":0},"schema":"https://github.com/citation-style-language/schema/raw/master/csl-citation.json"}</w:instrText>
      </w:r>
      <w:r>
        <w:rPr>
          <w:rStyle w:val="fadeinm1hgl8"/>
          <w:rFonts w:eastAsiaTheme="majorEastAsia"/>
        </w:rPr>
        <w:fldChar w:fldCharType="separate"/>
      </w:r>
      <w:r w:rsidRPr="000C4EC8">
        <w:rPr>
          <w:rStyle w:val="fadeinm1hgl8"/>
          <w:rFonts w:eastAsiaTheme="majorEastAsia"/>
          <w:noProof/>
        </w:rPr>
        <w:t>(Wijaya, 2014)</w:t>
      </w:r>
      <w:r>
        <w:rPr>
          <w:rStyle w:val="fadeinm1hgl8"/>
          <w:rFonts w:eastAsiaTheme="majorEastAsia"/>
        </w:rPr>
        <w:fldChar w:fldCharType="end"/>
      </w:r>
      <w:r>
        <w:rPr>
          <w:rStyle w:val="fadeinm1hgl8"/>
          <w:rFonts w:eastAsiaTheme="majorEastAsia"/>
        </w:rPr>
        <w:t>.</w:t>
      </w:r>
    </w:p>
    <w:p w:rsidR="00B2471D" w:rsidRDefault="00B2471D" w:rsidP="00B2471D">
      <w:pPr>
        <w:pStyle w:val="NormalWeb"/>
        <w:spacing w:before="0" w:beforeAutospacing="0" w:after="0" w:afterAutospacing="0" w:line="480" w:lineRule="auto"/>
        <w:jc w:val="both"/>
      </w:pPr>
      <w:r>
        <w:rPr>
          <w:rStyle w:val="fadeinm1hgl8"/>
          <w:rFonts w:eastAsiaTheme="majorEastAsia"/>
        </w:rPr>
        <w:tab/>
      </w:r>
      <w:r w:rsidRPr="00B46224">
        <w:rPr>
          <w:rStyle w:val="fadeinm1hgl8"/>
          <w:rFonts w:eastAsiaTheme="majorEastAsia"/>
        </w:rPr>
        <w:t>Dari segi sosial budaya, masyarakat Banjar Dinas Batang memiliki struktur sosial yang kuat berdasarkan sistem banjar adat dan subak. Mayoritas penduduk beragama Hindu dan secara aktif terlibat dalam upacara adat serta kegiatan keagamaan yang berkaitan erat dengan Pura Agung Besakih. Kearifan lokal, tradisi gotong royong, serta nilai-nilai spiritual yang kuat menjadi ciri khas yang melekat dalam kehidupan sehari-hari masyarakat. Hal ini menjadikan Banjar Dinas Batang sebagai lokasi yang kaya akan nilai budaya dan sangat relevan untuk dijadikan tempat penelitian, khususnya dalam bidang sosial, antropologi, pertanian, atau pengelolaan sumber daya alam</w:t>
      </w:r>
      <w:r>
        <w:rPr>
          <w:rStyle w:val="fadeinm1hgl8"/>
          <w:rFonts w:eastAsiaTheme="majorEastAsia"/>
        </w:rPr>
        <w:t xml:space="preserve"> </w:t>
      </w:r>
      <w:r>
        <w:rPr>
          <w:rStyle w:val="fadeinm1hgl8"/>
          <w:rFonts w:eastAsiaTheme="majorEastAsia"/>
        </w:rPr>
        <w:fldChar w:fldCharType="begin" w:fldLock="1"/>
      </w:r>
      <w:r>
        <w:rPr>
          <w:rStyle w:val="fadeinm1hgl8"/>
          <w:rFonts w:eastAsiaTheme="majorEastAsia"/>
        </w:rPr>
        <w:instrText>ADDIN CSL_CITATION {"citationItems":[{"id":"ITEM-1","itemData":{"author":[{"dropping-particle":"","family":"Wijaya","given":"W. Kandi","non-dropping-particle":"","parse-names":false,"suffix":""}],"id":"ITEM-1","issued":{"date-parts":[["2014"]]},"number-of-pages":"1-470","title":"Panca Bali Krama Besakih","type":"book"},"uris":["http://www.mendeley.com/documents/?uuid=84a8a238-89fe-4283-8d10-8ae7ff108cf8"]}],"mendeley":{"formattedCitation":"(Wijaya, 2014)","plainTextFormattedCitation":"(Wijaya, 2014)","previouslyFormattedCitation":"(Wijaya 2014)"},"properties":{"noteIndex":0},"schema":"https://github.com/citation-style-language/schema/raw/master/csl-citation.json"}</w:instrText>
      </w:r>
      <w:r>
        <w:rPr>
          <w:rStyle w:val="fadeinm1hgl8"/>
          <w:rFonts w:eastAsiaTheme="majorEastAsia"/>
        </w:rPr>
        <w:fldChar w:fldCharType="separate"/>
      </w:r>
      <w:r w:rsidRPr="000C4EC8">
        <w:rPr>
          <w:rStyle w:val="fadeinm1hgl8"/>
          <w:rFonts w:eastAsiaTheme="majorEastAsia"/>
          <w:noProof/>
        </w:rPr>
        <w:t>(Wijaya, 2014)</w:t>
      </w:r>
      <w:r>
        <w:rPr>
          <w:rStyle w:val="fadeinm1hgl8"/>
          <w:rFonts w:eastAsiaTheme="majorEastAsia"/>
        </w:rPr>
        <w:fldChar w:fldCharType="end"/>
      </w:r>
      <w:r>
        <w:rPr>
          <w:rStyle w:val="fadeinm1hgl8"/>
          <w:rFonts w:eastAsiaTheme="majorEastAsia"/>
        </w:rPr>
        <w:t>.</w:t>
      </w:r>
    </w:p>
    <w:p w:rsidR="00B2471D" w:rsidRPr="00410E58" w:rsidRDefault="00B2471D" w:rsidP="00B2471D">
      <w:pPr>
        <w:spacing w:after="0" w:line="480" w:lineRule="auto"/>
        <w:ind w:left="0"/>
        <w:jc w:val="both"/>
        <w:rPr>
          <w:rFonts w:ascii="Times New Roman" w:hAnsi="Times New Roman" w:cs="Times New Roman"/>
          <w:b/>
          <w:iCs/>
          <w:sz w:val="24"/>
          <w:szCs w:val="24"/>
        </w:rPr>
      </w:pPr>
      <w:r>
        <w:rPr>
          <w:rFonts w:ascii="Times New Roman" w:hAnsi="Times New Roman" w:cs="Times New Roman"/>
          <w:b/>
          <w:iCs/>
          <w:sz w:val="24"/>
          <w:szCs w:val="24"/>
        </w:rPr>
        <w:t>4.2 Hasil Penelitian</w:t>
      </w:r>
    </w:p>
    <w:p w:rsidR="00B2471D" w:rsidRDefault="00B2471D" w:rsidP="00B2471D">
      <w:pPr>
        <w:spacing w:after="0" w:line="480" w:lineRule="auto"/>
        <w:ind w:left="0"/>
        <w:jc w:val="both"/>
        <w:rPr>
          <w:rFonts w:ascii="Times New Roman" w:hAnsi="Times New Roman" w:cs="Times New Roman"/>
          <w:b/>
          <w:iCs/>
          <w:sz w:val="24"/>
          <w:szCs w:val="24"/>
        </w:rPr>
      </w:pPr>
      <w:r>
        <w:rPr>
          <w:rFonts w:ascii="Times New Roman" w:hAnsi="Times New Roman" w:cs="Times New Roman"/>
          <w:b/>
          <w:iCs/>
          <w:sz w:val="24"/>
          <w:szCs w:val="24"/>
        </w:rPr>
        <w:t>4.2.1 Karakteristik Responden</w:t>
      </w:r>
    </w:p>
    <w:p w:rsidR="00B2471D" w:rsidRPr="00410E58" w:rsidRDefault="00B2471D" w:rsidP="00B2471D">
      <w:pPr>
        <w:spacing w:after="0" w:line="480" w:lineRule="auto"/>
        <w:ind w:left="0"/>
        <w:jc w:val="both"/>
        <w:rPr>
          <w:rFonts w:ascii="Times New Roman" w:hAnsi="Times New Roman" w:cs="Times New Roman"/>
          <w:b/>
          <w:iCs/>
          <w:sz w:val="24"/>
          <w:szCs w:val="24"/>
        </w:rPr>
      </w:pPr>
      <w:r>
        <w:rPr>
          <w:rFonts w:ascii="Times New Roman" w:hAnsi="Times New Roman" w:cs="Times New Roman"/>
          <w:b/>
          <w:iCs/>
          <w:sz w:val="24"/>
          <w:szCs w:val="24"/>
        </w:rPr>
        <w:tab/>
      </w:r>
      <w:r>
        <w:rPr>
          <w:rFonts w:ascii="Times New Roman" w:hAnsi="Times New Roman" w:cs="Times New Roman"/>
          <w:iCs/>
          <w:sz w:val="24"/>
          <w:szCs w:val="24"/>
        </w:rPr>
        <w:t>Karakteristik responden pada penelitian ini dikategorikan berdasarkan jenis kelamin dan usia. Berdasarkan tabel 4.1 menunjukkan bahwa responden berjenis kelamin laki – laki dengan usia 8-12 tahun sebanyak 19 orang (82,6 %) dan pada perempuan sebanyak 4 orang (17,4 %).</w:t>
      </w:r>
    </w:p>
    <w:p w:rsidR="00B2471D" w:rsidRDefault="00B2471D" w:rsidP="00B2471D">
      <w:pPr>
        <w:spacing w:after="0" w:line="240" w:lineRule="auto"/>
        <w:jc w:val="center"/>
        <w:rPr>
          <w:rFonts w:ascii="Times New Roman" w:hAnsi="Times New Roman" w:cs="Times New Roman"/>
          <w:b/>
          <w:iCs/>
          <w:sz w:val="24"/>
          <w:szCs w:val="24"/>
        </w:rPr>
      </w:pPr>
      <w:r>
        <w:rPr>
          <w:rFonts w:ascii="Times New Roman" w:hAnsi="Times New Roman" w:cs="Times New Roman"/>
          <w:b/>
          <w:iCs/>
          <w:sz w:val="24"/>
          <w:szCs w:val="24"/>
        </w:rPr>
        <w:t>Tabel 4.1 Karakteristik Responden</w:t>
      </w:r>
    </w:p>
    <w:p w:rsidR="00B2471D" w:rsidRDefault="00B2471D" w:rsidP="00B2471D">
      <w:pPr>
        <w:spacing w:after="0" w:line="240" w:lineRule="auto"/>
        <w:jc w:val="center"/>
        <w:rPr>
          <w:rFonts w:ascii="Times New Roman" w:hAnsi="Times New Roman" w:cs="Times New Roman"/>
          <w:b/>
          <w:iCs/>
          <w:sz w:val="24"/>
          <w:szCs w:val="24"/>
        </w:rPr>
      </w:pPr>
    </w:p>
    <w:tbl>
      <w:tblPr>
        <w:tblStyle w:val="PlainTable2"/>
        <w:tblW w:w="7928" w:type="dxa"/>
        <w:tblLook w:val="04A0" w:firstRow="1" w:lastRow="0" w:firstColumn="1" w:lastColumn="0" w:noHBand="0" w:noVBand="1"/>
      </w:tblPr>
      <w:tblGrid>
        <w:gridCol w:w="2352"/>
        <w:gridCol w:w="1613"/>
        <w:gridCol w:w="1832"/>
        <w:gridCol w:w="2131"/>
      </w:tblGrid>
      <w:tr w:rsidR="00B2471D" w:rsidTr="00476396">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352" w:type="dxa"/>
          </w:tcPr>
          <w:p w:rsidR="00B2471D" w:rsidRPr="00203CCA" w:rsidRDefault="00B2471D" w:rsidP="00476396">
            <w:pPr>
              <w:ind w:left="0"/>
              <w:jc w:val="center"/>
              <w:rPr>
                <w:rFonts w:ascii="Times New Roman" w:hAnsi="Times New Roman" w:cs="Times New Roman"/>
                <w:iCs/>
                <w:sz w:val="24"/>
                <w:szCs w:val="24"/>
              </w:rPr>
            </w:pPr>
            <w:r w:rsidRPr="00203CCA">
              <w:rPr>
                <w:rFonts w:ascii="Times New Roman" w:hAnsi="Times New Roman" w:cs="Times New Roman"/>
                <w:iCs/>
                <w:sz w:val="24"/>
                <w:szCs w:val="24"/>
              </w:rPr>
              <w:t xml:space="preserve">Karakteristik </w:t>
            </w:r>
          </w:p>
        </w:tc>
        <w:tc>
          <w:tcPr>
            <w:tcW w:w="1613" w:type="dxa"/>
          </w:tcPr>
          <w:p w:rsidR="00B2471D" w:rsidRPr="00203CCA" w:rsidRDefault="00B2471D" w:rsidP="00476396">
            <w:pPr>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iCs/>
                <w:sz w:val="24"/>
                <w:szCs w:val="24"/>
              </w:rPr>
            </w:pPr>
            <w:r w:rsidRPr="00203CCA">
              <w:rPr>
                <w:rFonts w:ascii="Times New Roman" w:hAnsi="Times New Roman" w:cs="Times New Roman"/>
                <w:iCs/>
                <w:sz w:val="24"/>
                <w:szCs w:val="24"/>
              </w:rPr>
              <w:t>usia</w:t>
            </w:r>
          </w:p>
        </w:tc>
        <w:tc>
          <w:tcPr>
            <w:tcW w:w="1832" w:type="dxa"/>
          </w:tcPr>
          <w:p w:rsidR="00B2471D" w:rsidRPr="00203CCA" w:rsidRDefault="00B2471D" w:rsidP="00476396">
            <w:pPr>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iCs/>
                <w:sz w:val="24"/>
                <w:szCs w:val="24"/>
              </w:rPr>
            </w:pPr>
            <w:r w:rsidRPr="00203CCA">
              <w:rPr>
                <w:rFonts w:ascii="Times New Roman" w:hAnsi="Times New Roman" w:cs="Times New Roman"/>
                <w:iCs/>
                <w:sz w:val="24"/>
                <w:szCs w:val="24"/>
              </w:rPr>
              <w:t xml:space="preserve">Jumlah </w:t>
            </w:r>
          </w:p>
        </w:tc>
        <w:tc>
          <w:tcPr>
            <w:tcW w:w="2131" w:type="dxa"/>
          </w:tcPr>
          <w:p w:rsidR="00B2471D" w:rsidRPr="00203CCA" w:rsidRDefault="00B2471D" w:rsidP="00476396">
            <w:pPr>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iCs/>
                <w:sz w:val="24"/>
                <w:szCs w:val="24"/>
              </w:rPr>
            </w:pPr>
            <w:r w:rsidRPr="00203CCA">
              <w:rPr>
                <w:rFonts w:ascii="Times New Roman" w:hAnsi="Times New Roman" w:cs="Times New Roman"/>
                <w:iCs/>
                <w:sz w:val="24"/>
                <w:szCs w:val="24"/>
              </w:rPr>
              <w:t xml:space="preserve">Persentase </w:t>
            </w:r>
          </w:p>
        </w:tc>
      </w:tr>
      <w:tr w:rsidR="00B2471D" w:rsidTr="00476396">
        <w:trPr>
          <w:cnfStyle w:val="000000100000" w:firstRow="0" w:lastRow="0" w:firstColumn="0" w:lastColumn="0" w:oddVBand="0" w:evenVBand="0" w:oddHBand="1" w:evenHBand="0" w:firstRowFirstColumn="0" w:firstRowLastColumn="0" w:lastRowFirstColumn="0" w:lastRowLastColumn="0"/>
          <w:trHeight w:val="389"/>
        </w:trPr>
        <w:tc>
          <w:tcPr>
            <w:cnfStyle w:val="001000000000" w:firstRow="0" w:lastRow="0" w:firstColumn="1" w:lastColumn="0" w:oddVBand="0" w:evenVBand="0" w:oddHBand="0" w:evenHBand="0" w:firstRowFirstColumn="0" w:firstRowLastColumn="0" w:lastRowFirstColumn="0" w:lastRowLastColumn="0"/>
            <w:tcW w:w="2352" w:type="dxa"/>
          </w:tcPr>
          <w:p w:rsidR="00B2471D" w:rsidRPr="00203CCA" w:rsidRDefault="00B2471D" w:rsidP="00476396">
            <w:pPr>
              <w:ind w:left="0"/>
              <w:jc w:val="center"/>
              <w:rPr>
                <w:rFonts w:ascii="Times New Roman" w:hAnsi="Times New Roman" w:cs="Times New Roman"/>
                <w:b w:val="0"/>
                <w:iCs/>
                <w:sz w:val="24"/>
                <w:szCs w:val="24"/>
              </w:rPr>
            </w:pPr>
            <w:r w:rsidRPr="00203CCA">
              <w:rPr>
                <w:rFonts w:ascii="Times New Roman" w:hAnsi="Times New Roman" w:cs="Times New Roman"/>
                <w:b w:val="0"/>
                <w:iCs/>
                <w:sz w:val="24"/>
                <w:szCs w:val="24"/>
              </w:rPr>
              <w:t>Laki - laki</w:t>
            </w:r>
          </w:p>
        </w:tc>
        <w:tc>
          <w:tcPr>
            <w:tcW w:w="1613" w:type="dxa"/>
          </w:tcPr>
          <w:p w:rsidR="00B2471D" w:rsidRDefault="00B2471D" w:rsidP="00476396">
            <w:pPr>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Cs/>
                <w:sz w:val="24"/>
                <w:szCs w:val="24"/>
              </w:rPr>
            </w:pPr>
            <w:r>
              <w:rPr>
                <w:rFonts w:ascii="Times New Roman" w:hAnsi="Times New Roman" w:cs="Times New Roman"/>
                <w:iCs/>
                <w:sz w:val="24"/>
                <w:szCs w:val="24"/>
              </w:rPr>
              <w:t>8 – 12 Tahun</w:t>
            </w:r>
          </w:p>
        </w:tc>
        <w:tc>
          <w:tcPr>
            <w:tcW w:w="1832" w:type="dxa"/>
          </w:tcPr>
          <w:p w:rsidR="00B2471D" w:rsidRDefault="00B2471D" w:rsidP="00476396">
            <w:pPr>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Cs/>
                <w:sz w:val="24"/>
                <w:szCs w:val="24"/>
              </w:rPr>
            </w:pPr>
            <w:r>
              <w:rPr>
                <w:rFonts w:ascii="Times New Roman" w:hAnsi="Times New Roman" w:cs="Times New Roman"/>
                <w:iCs/>
                <w:sz w:val="24"/>
                <w:szCs w:val="24"/>
              </w:rPr>
              <w:t>19</w:t>
            </w:r>
          </w:p>
        </w:tc>
        <w:tc>
          <w:tcPr>
            <w:tcW w:w="2131" w:type="dxa"/>
          </w:tcPr>
          <w:p w:rsidR="00B2471D" w:rsidRDefault="00B2471D" w:rsidP="00476396">
            <w:pPr>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Cs/>
                <w:sz w:val="24"/>
                <w:szCs w:val="24"/>
              </w:rPr>
            </w:pPr>
            <w:r>
              <w:rPr>
                <w:rFonts w:ascii="Times New Roman" w:hAnsi="Times New Roman" w:cs="Times New Roman"/>
                <w:iCs/>
                <w:sz w:val="24"/>
                <w:szCs w:val="24"/>
              </w:rPr>
              <w:t>82,6 %</w:t>
            </w:r>
          </w:p>
        </w:tc>
      </w:tr>
      <w:tr w:rsidR="00B2471D" w:rsidTr="00476396">
        <w:trPr>
          <w:trHeight w:val="381"/>
        </w:trPr>
        <w:tc>
          <w:tcPr>
            <w:cnfStyle w:val="001000000000" w:firstRow="0" w:lastRow="0" w:firstColumn="1" w:lastColumn="0" w:oddVBand="0" w:evenVBand="0" w:oddHBand="0" w:evenHBand="0" w:firstRowFirstColumn="0" w:firstRowLastColumn="0" w:lastRowFirstColumn="0" w:lastRowLastColumn="0"/>
            <w:tcW w:w="2352" w:type="dxa"/>
          </w:tcPr>
          <w:p w:rsidR="00B2471D" w:rsidRPr="00203CCA" w:rsidRDefault="00B2471D" w:rsidP="00476396">
            <w:pPr>
              <w:ind w:left="0"/>
              <w:jc w:val="center"/>
              <w:rPr>
                <w:rFonts w:ascii="Times New Roman" w:hAnsi="Times New Roman" w:cs="Times New Roman"/>
                <w:b w:val="0"/>
                <w:iCs/>
                <w:sz w:val="24"/>
                <w:szCs w:val="24"/>
              </w:rPr>
            </w:pPr>
            <w:r w:rsidRPr="00203CCA">
              <w:rPr>
                <w:rFonts w:ascii="Times New Roman" w:hAnsi="Times New Roman" w:cs="Times New Roman"/>
                <w:b w:val="0"/>
                <w:iCs/>
                <w:sz w:val="24"/>
                <w:szCs w:val="24"/>
              </w:rPr>
              <w:t xml:space="preserve">Perempuan </w:t>
            </w:r>
          </w:p>
        </w:tc>
        <w:tc>
          <w:tcPr>
            <w:tcW w:w="1613" w:type="dxa"/>
          </w:tcPr>
          <w:p w:rsidR="00B2471D" w:rsidRDefault="00B2471D" w:rsidP="00476396">
            <w:pPr>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sz w:val="24"/>
                <w:szCs w:val="24"/>
              </w:rPr>
            </w:pPr>
            <w:r>
              <w:rPr>
                <w:rFonts w:ascii="Times New Roman" w:hAnsi="Times New Roman" w:cs="Times New Roman"/>
                <w:iCs/>
                <w:sz w:val="24"/>
                <w:szCs w:val="24"/>
              </w:rPr>
              <w:t>8 – 12 Tahun</w:t>
            </w:r>
          </w:p>
        </w:tc>
        <w:tc>
          <w:tcPr>
            <w:tcW w:w="1832" w:type="dxa"/>
          </w:tcPr>
          <w:p w:rsidR="00B2471D" w:rsidRDefault="00B2471D" w:rsidP="00476396">
            <w:pPr>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sz w:val="24"/>
                <w:szCs w:val="24"/>
              </w:rPr>
            </w:pPr>
            <w:r>
              <w:rPr>
                <w:rFonts w:ascii="Times New Roman" w:hAnsi="Times New Roman" w:cs="Times New Roman"/>
                <w:iCs/>
                <w:sz w:val="24"/>
                <w:szCs w:val="24"/>
              </w:rPr>
              <w:t>4</w:t>
            </w:r>
          </w:p>
        </w:tc>
        <w:tc>
          <w:tcPr>
            <w:tcW w:w="2131" w:type="dxa"/>
          </w:tcPr>
          <w:p w:rsidR="00B2471D" w:rsidRDefault="00B2471D" w:rsidP="00476396">
            <w:pPr>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sz w:val="24"/>
                <w:szCs w:val="24"/>
              </w:rPr>
            </w:pPr>
            <w:r>
              <w:rPr>
                <w:rFonts w:ascii="Times New Roman" w:hAnsi="Times New Roman" w:cs="Times New Roman"/>
                <w:iCs/>
                <w:sz w:val="24"/>
                <w:szCs w:val="24"/>
              </w:rPr>
              <w:t>17,4 %</w:t>
            </w:r>
          </w:p>
        </w:tc>
      </w:tr>
      <w:tr w:rsidR="00B2471D" w:rsidTr="00476396">
        <w:trPr>
          <w:cnfStyle w:val="000000100000" w:firstRow="0" w:lastRow="0" w:firstColumn="0" w:lastColumn="0" w:oddVBand="0" w:evenVBand="0" w:oddHBand="1" w:evenHBand="0" w:firstRowFirstColumn="0" w:firstRowLastColumn="0" w:lastRowFirstColumn="0" w:lastRowLastColumn="0"/>
          <w:trHeight w:val="388"/>
        </w:trPr>
        <w:tc>
          <w:tcPr>
            <w:cnfStyle w:val="001000000000" w:firstRow="0" w:lastRow="0" w:firstColumn="1" w:lastColumn="0" w:oddVBand="0" w:evenVBand="0" w:oddHBand="0" w:evenHBand="0" w:firstRowFirstColumn="0" w:firstRowLastColumn="0" w:lastRowFirstColumn="0" w:lastRowLastColumn="0"/>
            <w:tcW w:w="2352" w:type="dxa"/>
          </w:tcPr>
          <w:p w:rsidR="00B2471D" w:rsidRPr="00203CCA" w:rsidRDefault="00B2471D" w:rsidP="00476396">
            <w:pPr>
              <w:ind w:left="0"/>
              <w:jc w:val="center"/>
              <w:rPr>
                <w:rFonts w:ascii="Times New Roman" w:hAnsi="Times New Roman" w:cs="Times New Roman"/>
                <w:iCs/>
                <w:sz w:val="24"/>
                <w:szCs w:val="24"/>
              </w:rPr>
            </w:pPr>
            <w:r w:rsidRPr="00203CCA">
              <w:rPr>
                <w:rFonts w:ascii="Times New Roman" w:hAnsi="Times New Roman" w:cs="Times New Roman"/>
                <w:iCs/>
                <w:sz w:val="24"/>
                <w:szCs w:val="24"/>
              </w:rPr>
              <w:t xml:space="preserve">Jumlah </w:t>
            </w:r>
          </w:p>
        </w:tc>
        <w:tc>
          <w:tcPr>
            <w:tcW w:w="1613" w:type="dxa"/>
          </w:tcPr>
          <w:p w:rsidR="00B2471D" w:rsidRDefault="00B2471D" w:rsidP="00476396">
            <w:pPr>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Cs/>
                <w:sz w:val="24"/>
                <w:szCs w:val="24"/>
              </w:rPr>
            </w:pPr>
          </w:p>
        </w:tc>
        <w:tc>
          <w:tcPr>
            <w:tcW w:w="1832" w:type="dxa"/>
          </w:tcPr>
          <w:p w:rsidR="00B2471D" w:rsidRDefault="00B2471D" w:rsidP="00476396">
            <w:pPr>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Cs/>
                <w:sz w:val="24"/>
                <w:szCs w:val="24"/>
              </w:rPr>
            </w:pPr>
            <w:r>
              <w:rPr>
                <w:rFonts w:ascii="Times New Roman" w:hAnsi="Times New Roman" w:cs="Times New Roman"/>
                <w:iCs/>
                <w:sz w:val="24"/>
                <w:szCs w:val="24"/>
              </w:rPr>
              <w:t>23</w:t>
            </w:r>
          </w:p>
        </w:tc>
        <w:tc>
          <w:tcPr>
            <w:tcW w:w="2131" w:type="dxa"/>
          </w:tcPr>
          <w:p w:rsidR="00B2471D" w:rsidRDefault="00B2471D" w:rsidP="00476396">
            <w:pPr>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Cs/>
                <w:sz w:val="24"/>
                <w:szCs w:val="24"/>
              </w:rPr>
            </w:pPr>
            <w:r>
              <w:rPr>
                <w:rFonts w:ascii="Times New Roman" w:hAnsi="Times New Roman" w:cs="Times New Roman"/>
                <w:iCs/>
                <w:sz w:val="24"/>
                <w:szCs w:val="24"/>
              </w:rPr>
              <w:t>100 %</w:t>
            </w:r>
          </w:p>
        </w:tc>
      </w:tr>
    </w:tbl>
    <w:p w:rsidR="00B2471D" w:rsidRDefault="00B2471D" w:rsidP="00B2471D">
      <w:pPr>
        <w:spacing w:after="0" w:line="480" w:lineRule="auto"/>
        <w:jc w:val="center"/>
        <w:rPr>
          <w:rFonts w:ascii="Times New Roman" w:hAnsi="Times New Roman" w:cs="Times New Roman"/>
          <w:iCs/>
          <w:sz w:val="24"/>
          <w:szCs w:val="24"/>
        </w:rPr>
      </w:pPr>
    </w:p>
    <w:p w:rsidR="00B2471D" w:rsidRDefault="00B2471D" w:rsidP="00B2471D">
      <w:pPr>
        <w:spacing w:after="0" w:line="480" w:lineRule="auto"/>
        <w:jc w:val="both"/>
        <w:rPr>
          <w:rFonts w:ascii="Times New Roman" w:hAnsi="Times New Roman" w:cs="Times New Roman"/>
          <w:iCs/>
          <w:sz w:val="24"/>
          <w:szCs w:val="24"/>
        </w:rPr>
      </w:pPr>
      <w:r>
        <w:rPr>
          <w:rFonts w:ascii="Times New Roman" w:hAnsi="Times New Roman" w:cs="Times New Roman"/>
          <w:iCs/>
          <w:sz w:val="24"/>
          <w:szCs w:val="24"/>
        </w:rPr>
        <w:tab/>
      </w:r>
    </w:p>
    <w:p w:rsidR="00B2471D" w:rsidRDefault="00B2471D" w:rsidP="00B2471D">
      <w:pPr>
        <w:spacing w:after="0" w:line="480" w:lineRule="auto"/>
        <w:ind w:left="0"/>
        <w:jc w:val="both"/>
        <w:rPr>
          <w:rFonts w:ascii="Times New Roman" w:hAnsi="Times New Roman" w:cs="Times New Roman"/>
          <w:b/>
          <w:iCs/>
          <w:sz w:val="24"/>
          <w:szCs w:val="24"/>
        </w:rPr>
      </w:pPr>
      <w:r>
        <w:rPr>
          <w:rFonts w:ascii="Times New Roman" w:hAnsi="Times New Roman" w:cs="Times New Roman"/>
          <w:b/>
          <w:iCs/>
          <w:sz w:val="24"/>
          <w:szCs w:val="24"/>
        </w:rPr>
        <w:lastRenderedPageBreak/>
        <w:t xml:space="preserve">4.2.2 Hasil Pemeriksaan </w:t>
      </w:r>
      <w:r w:rsidRPr="00410E58">
        <w:rPr>
          <w:rFonts w:ascii="Times New Roman" w:hAnsi="Times New Roman" w:cs="Times New Roman"/>
          <w:b/>
          <w:i/>
          <w:iCs/>
          <w:sz w:val="24"/>
          <w:szCs w:val="24"/>
        </w:rPr>
        <w:t>Tinea versicolor</w:t>
      </w:r>
      <w:r>
        <w:rPr>
          <w:rFonts w:ascii="Times New Roman" w:hAnsi="Times New Roman" w:cs="Times New Roman"/>
          <w:b/>
          <w:iCs/>
          <w:sz w:val="24"/>
          <w:szCs w:val="24"/>
        </w:rPr>
        <w:t xml:space="preserve"> </w:t>
      </w:r>
    </w:p>
    <w:p w:rsidR="00B2471D" w:rsidRDefault="00B2471D" w:rsidP="00B2471D">
      <w:pPr>
        <w:spacing w:after="0" w:line="480" w:lineRule="auto"/>
        <w:ind w:left="0"/>
        <w:jc w:val="both"/>
        <w:rPr>
          <w:rFonts w:ascii="Times New Roman" w:hAnsi="Times New Roman" w:cs="Times New Roman"/>
          <w:b/>
          <w:iCs/>
          <w:sz w:val="24"/>
          <w:szCs w:val="24"/>
        </w:rPr>
      </w:pPr>
      <w:r>
        <w:rPr>
          <w:rFonts w:ascii="Times New Roman" w:hAnsi="Times New Roman" w:cs="Times New Roman"/>
          <w:b/>
          <w:iCs/>
          <w:sz w:val="24"/>
          <w:szCs w:val="24"/>
        </w:rPr>
        <w:t xml:space="preserve">A. Pemeriksaan KOH 10% + Methylene </w:t>
      </w:r>
      <w:r w:rsidRPr="00410E58">
        <w:rPr>
          <w:rFonts w:ascii="Times New Roman" w:hAnsi="Times New Roman" w:cs="Times New Roman"/>
          <w:b/>
          <w:i/>
          <w:iCs/>
          <w:sz w:val="24"/>
          <w:szCs w:val="24"/>
        </w:rPr>
        <w:t>Blue</w:t>
      </w:r>
    </w:p>
    <w:p w:rsidR="00B2471D" w:rsidRPr="00111B61" w:rsidRDefault="00B2471D" w:rsidP="00B2471D">
      <w:pPr>
        <w:spacing w:after="0" w:line="480" w:lineRule="auto"/>
        <w:ind w:left="0"/>
        <w:jc w:val="both"/>
        <w:rPr>
          <w:rFonts w:ascii="Times New Roman" w:hAnsi="Times New Roman" w:cs="Times New Roman"/>
          <w:b/>
          <w:iCs/>
          <w:sz w:val="24"/>
          <w:szCs w:val="24"/>
        </w:rPr>
      </w:pPr>
      <w:r>
        <w:rPr>
          <w:rStyle w:val="fadeinm1hgl8"/>
          <w:rFonts w:ascii="Times New Roman" w:hAnsi="Times New Roman" w:cs="Times New Roman"/>
          <w:sz w:val="24"/>
          <w:szCs w:val="24"/>
        </w:rPr>
        <w:tab/>
        <w:t>H</w:t>
      </w:r>
      <w:r>
        <w:rPr>
          <w:rFonts w:ascii="Times New Roman" w:hAnsi="Times New Roman" w:cs="Times New Roman"/>
          <w:iCs/>
          <w:sz w:val="24"/>
          <w:szCs w:val="24"/>
        </w:rPr>
        <w:t xml:space="preserve">asil pemeriksaan </w:t>
      </w:r>
      <w:r w:rsidRPr="00E672AC">
        <w:rPr>
          <w:rFonts w:ascii="Times New Roman" w:hAnsi="Times New Roman" w:cs="Times New Roman"/>
          <w:i/>
          <w:iCs/>
          <w:sz w:val="24"/>
          <w:szCs w:val="24"/>
        </w:rPr>
        <w:t>Tinea versicolor</w:t>
      </w:r>
      <w:r>
        <w:rPr>
          <w:rFonts w:ascii="Times New Roman" w:hAnsi="Times New Roman" w:cs="Times New Roman"/>
          <w:iCs/>
          <w:sz w:val="24"/>
          <w:szCs w:val="24"/>
        </w:rPr>
        <w:t xml:space="preserve"> menggunakan KOH 10% + Methylene Blue, dari 23 sampel menunjukkan bahwa 2 sampel (8,7%) dengan hasil pemeriksaan positif dan 21 sampel (91,3%) dengan hasil pemeriksaan negatif (Tabel 4.2). </w:t>
      </w:r>
      <w:r w:rsidRPr="00111B61">
        <w:rPr>
          <w:rFonts w:ascii="Times New Roman" w:hAnsi="Times New Roman" w:cs="Times New Roman"/>
          <w:iCs/>
          <w:sz w:val="24"/>
          <w:szCs w:val="24"/>
        </w:rPr>
        <w:t xml:space="preserve">Ditandai dengan </w:t>
      </w:r>
      <w:r w:rsidRPr="00111B61">
        <w:rPr>
          <w:rStyle w:val="fadeinm1hgl8"/>
          <w:rFonts w:ascii="Times New Roman" w:hAnsi="Times New Roman" w:cs="Times New Roman"/>
          <w:sz w:val="24"/>
          <w:szCs w:val="24"/>
        </w:rPr>
        <w:t>spora bulat berdinding tebal dan hifa pendek yang terputus-putus. Struktur ini membentuk pola khas yang dikenal sebagai “spaghetti and meatballs”.</w:t>
      </w:r>
    </w:p>
    <w:p w:rsidR="00B2471D" w:rsidRDefault="00B2471D" w:rsidP="00B2471D">
      <w:pPr>
        <w:spacing w:after="0" w:line="240" w:lineRule="auto"/>
        <w:ind w:left="0" w:firstLine="426"/>
        <w:jc w:val="center"/>
        <w:rPr>
          <w:rFonts w:ascii="Times New Roman" w:hAnsi="Times New Roman" w:cs="Times New Roman"/>
          <w:b/>
          <w:i/>
          <w:iCs/>
          <w:sz w:val="24"/>
          <w:szCs w:val="24"/>
        </w:rPr>
      </w:pPr>
      <w:r>
        <w:rPr>
          <w:rFonts w:ascii="Times New Roman" w:hAnsi="Times New Roman" w:cs="Times New Roman"/>
          <w:b/>
          <w:iCs/>
          <w:sz w:val="24"/>
          <w:szCs w:val="24"/>
        </w:rPr>
        <w:t xml:space="preserve">Tabel 4.2 Hasil Pemeriksaan KOH 10% + Methylene </w:t>
      </w:r>
      <w:r w:rsidRPr="00E672AC">
        <w:rPr>
          <w:rFonts w:ascii="Times New Roman" w:hAnsi="Times New Roman" w:cs="Times New Roman"/>
          <w:b/>
          <w:i/>
          <w:iCs/>
          <w:sz w:val="24"/>
          <w:szCs w:val="24"/>
        </w:rPr>
        <w:t>Blue</w:t>
      </w:r>
    </w:p>
    <w:p w:rsidR="00B2471D" w:rsidRDefault="00B2471D" w:rsidP="00B2471D">
      <w:pPr>
        <w:spacing w:after="0" w:line="240" w:lineRule="auto"/>
        <w:ind w:left="0" w:firstLine="426"/>
        <w:jc w:val="center"/>
        <w:rPr>
          <w:rFonts w:ascii="Times New Roman" w:hAnsi="Times New Roman" w:cs="Times New Roman"/>
          <w:b/>
          <w:iCs/>
          <w:sz w:val="24"/>
          <w:szCs w:val="24"/>
        </w:rPr>
      </w:pPr>
    </w:p>
    <w:tbl>
      <w:tblPr>
        <w:tblStyle w:val="PlainTable2"/>
        <w:tblW w:w="7560" w:type="dxa"/>
        <w:tblLook w:val="04A0" w:firstRow="1" w:lastRow="0" w:firstColumn="1" w:lastColumn="0" w:noHBand="0" w:noVBand="1"/>
      </w:tblPr>
      <w:tblGrid>
        <w:gridCol w:w="1568"/>
        <w:gridCol w:w="1998"/>
        <w:gridCol w:w="1997"/>
        <w:gridCol w:w="1997"/>
      </w:tblGrid>
      <w:tr w:rsidR="00B2471D" w:rsidTr="00476396">
        <w:trPr>
          <w:cnfStyle w:val="100000000000" w:firstRow="1" w:lastRow="0" w:firstColumn="0" w:lastColumn="0" w:oddVBand="0" w:evenVBand="0" w:oddHBand="0" w:evenHBand="0" w:firstRowFirstColumn="0" w:firstRowLastColumn="0" w:lastRowFirstColumn="0" w:lastRowLastColumn="0"/>
          <w:trHeight w:val="356"/>
        </w:trPr>
        <w:tc>
          <w:tcPr>
            <w:cnfStyle w:val="001000000000" w:firstRow="0" w:lastRow="0" w:firstColumn="1" w:lastColumn="0" w:oddVBand="0" w:evenVBand="0" w:oddHBand="0" w:evenHBand="0" w:firstRowFirstColumn="0" w:firstRowLastColumn="0" w:lastRowFirstColumn="0" w:lastRowLastColumn="0"/>
            <w:tcW w:w="1568" w:type="dxa"/>
            <w:hideMark/>
          </w:tcPr>
          <w:p w:rsidR="00B2471D" w:rsidRPr="00865713" w:rsidRDefault="00B2471D" w:rsidP="00476396">
            <w:pPr>
              <w:ind w:left="0"/>
              <w:jc w:val="center"/>
              <w:rPr>
                <w:rFonts w:ascii="Times New Roman" w:hAnsi="Times New Roman" w:cs="Times New Roman"/>
                <w:iCs/>
                <w:sz w:val="24"/>
                <w:szCs w:val="24"/>
              </w:rPr>
            </w:pPr>
            <w:r w:rsidRPr="00865713">
              <w:rPr>
                <w:rFonts w:ascii="Times New Roman" w:hAnsi="Times New Roman" w:cs="Times New Roman"/>
                <w:iCs/>
                <w:sz w:val="24"/>
                <w:szCs w:val="24"/>
              </w:rPr>
              <w:t>No.</w:t>
            </w:r>
          </w:p>
        </w:tc>
        <w:tc>
          <w:tcPr>
            <w:tcW w:w="1998" w:type="dxa"/>
            <w:hideMark/>
          </w:tcPr>
          <w:p w:rsidR="00B2471D" w:rsidRPr="00865713" w:rsidRDefault="00B2471D" w:rsidP="00476396">
            <w:pPr>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iCs/>
                <w:sz w:val="24"/>
                <w:szCs w:val="24"/>
              </w:rPr>
            </w:pPr>
            <w:r w:rsidRPr="00865713">
              <w:rPr>
                <w:rFonts w:ascii="Times New Roman" w:hAnsi="Times New Roman" w:cs="Times New Roman"/>
                <w:iCs/>
                <w:sz w:val="24"/>
                <w:szCs w:val="24"/>
              </w:rPr>
              <w:t>Frekuensi</w:t>
            </w:r>
          </w:p>
        </w:tc>
        <w:tc>
          <w:tcPr>
            <w:tcW w:w="1997" w:type="dxa"/>
            <w:hideMark/>
          </w:tcPr>
          <w:p w:rsidR="00B2471D" w:rsidRPr="00865713" w:rsidRDefault="00B2471D" w:rsidP="00476396">
            <w:pPr>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iCs/>
                <w:sz w:val="24"/>
                <w:szCs w:val="24"/>
              </w:rPr>
            </w:pPr>
            <w:r w:rsidRPr="00865713">
              <w:rPr>
                <w:rFonts w:ascii="Times New Roman" w:hAnsi="Times New Roman" w:cs="Times New Roman"/>
                <w:iCs/>
                <w:sz w:val="24"/>
                <w:szCs w:val="24"/>
              </w:rPr>
              <w:t>n</w:t>
            </w:r>
          </w:p>
        </w:tc>
        <w:tc>
          <w:tcPr>
            <w:tcW w:w="1997" w:type="dxa"/>
            <w:hideMark/>
          </w:tcPr>
          <w:p w:rsidR="00B2471D" w:rsidRPr="00865713" w:rsidRDefault="00B2471D" w:rsidP="00476396">
            <w:pPr>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iCs/>
                <w:sz w:val="24"/>
                <w:szCs w:val="24"/>
              </w:rPr>
            </w:pPr>
            <w:r w:rsidRPr="00865713">
              <w:rPr>
                <w:rFonts w:ascii="Times New Roman" w:hAnsi="Times New Roman" w:cs="Times New Roman"/>
                <w:iCs/>
                <w:sz w:val="24"/>
                <w:szCs w:val="24"/>
              </w:rPr>
              <w:t>%</w:t>
            </w:r>
          </w:p>
        </w:tc>
      </w:tr>
      <w:tr w:rsidR="00B2471D" w:rsidTr="00476396">
        <w:trPr>
          <w:cnfStyle w:val="000000100000" w:firstRow="0" w:lastRow="0" w:firstColumn="0" w:lastColumn="0" w:oddVBand="0" w:evenVBand="0" w:oddHBand="1" w:evenHBand="0" w:firstRowFirstColumn="0" w:firstRowLastColumn="0" w:lastRowFirstColumn="0" w:lastRowLastColumn="0"/>
          <w:trHeight w:val="377"/>
        </w:trPr>
        <w:tc>
          <w:tcPr>
            <w:cnfStyle w:val="001000000000" w:firstRow="0" w:lastRow="0" w:firstColumn="1" w:lastColumn="0" w:oddVBand="0" w:evenVBand="0" w:oddHBand="0" w:evenHBand="0" w:firstRowFirstColumn="0" w:firstRowLastColumn="0" w:lastRowFirstColumn="0" w:lastRowLastColumn="0"/>
            <w:tcW w:w="1568" w:type="dxa"/>
            <w:hideMark/>
          </w:tcPr>
          <w:p w:rsidR="00B2471D" w:rsidRPr="00865713" w:rsidRDefault="00B2471D" w:rsidP="00476396">
            <w:pPr>
              <w:ind w:left="0"/>
              <w:jc w:val="center"/>
              <w:rPr>
                <w:rFonts w:ascii="Times New Roman" w:hAnsi="Times New Roman" w:cs="Times New Roman"/>
                <w:b w:val="0"/>
                <w:iCs/>
                <w:sz w:val="24"/>
                <w:szCs w:val="24"/>
              </w:rPr>
            </w:pPr>
            <w:r w:rsidRPr="00865713">
              <w:rPr>
                <w:rFonts w:ascii="Times New Roman" w:hAnsi="Times New Roman" w:cs="Times New Roman"/>
                <w:b w:val="0"/>
                <w:iCs/>
                <w:sz w:val="24"/>
                <w:szCs w:val="24"/>
              </w:rPr>
              <w:t>1.</w:t>
            </w:r>
          </w:p>
        </w:tc>
        <w:tc>
          <w:tcPr>
            <w:tcW w:w="1998" w:type="dxa"/>
            <w:hideMark/>
          </w:tcPr>
          <w:p w:rsidR="00B2471D" w:rsidRDefault="00B2471D" w:rsidP="00476396">
            <w:pPr>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Cs/>
                <w:sz w:val="24"/>
                <w:szCs w:val="24"/>
              </w:rPr>
            </w:pPr>
            <w:r>
              <w:rPr>
                <w:rFonts w:ascii="Times New Roman" w:hAnsi="Times New Roman" w:cs="Times New Roman"/>
                <w:iCs/>
                <w:sz w:val="24"/>
                <w:szCs w:val="24"/>
              </w:rPr>
              <w:t>Positif</w:t>
            </w:r>
          </w:p>
        </w:tc>
        <w:tc>
          <w:tcPr>
            <w:tcW w:w="1997" w:type="dxa"/>
            <w:hideMark/>
          </w:tcPr>
          <w:p w:rsidR="00B2471D" w:rsidRDefault="00B2471D" w:rsidP="00476396">
            <w:pPr>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Cs/>
                <w:sz w:val="24"/>
                <w:szCs w:val="24"/>
              </w:rPr>
            </w:pPr>
            <w:r>
              <w:rPr>
                <w:rFonts w:ascii="Times New Roman" w:hAnsi="Times New Roman" w:cs="Times New Roman"/>
                <w:iCs/>
                <w:sz w:val="24"/>
                <w:szCs w:val="24"/>
              </w:rPr>
              <w:t>2</w:t>
            </w:r>
          </w:p>
        </w:tc>
        <w:tc>
          <w:tcPr>
            <w:tcW w:w="1997" w:type="dxa"/>
            <w:hideMark/>
          </w:tcPr>
          <w:p w:rsidR="00B2471D" w:rsidRDefault="00B2471D" w:rsidP="00476396">
            <w:pPr>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Cs/>
                <w:sz w:val="24"/>
                <w:szCs w:val="24"/>
              </w:rPr>
            </w:pPr>
            <w:r>
              <w:rPr>
                <w:rFonts w:ascii="Times New Roman" w:hAnsi="Times New Roman" w:cs="Times New Roman"/>
                <w:iCs/>
                <w:sz w:val="24"/>
                <w:szCs w:val="24"/>
              </w:rPr>
              <w:t>8,7</w:t>
            </w:r>
          </w:p>
        </w:tc>
      </w:tr>
      <w:tr w:rsidR="00B2471D" w:rsidTr="00476396">
        <w:trPr>
          <w:trHeight w:val="372"/>
        </w:trPr>
        <w:tc>
          <w:tcPr>
            <w:cnfStyle w:val="001000000000" w:firstRow="0" w:lastRow="0" w:firstColumn="1" w:lastColumn="0" w:oddVBand="0" w:evenVBand="0" w:oddHBand="0" w:evenHBand="0" w:firstRowFirstColumn="0" w:firstRowLastColumn="0" w:lastRowFirstColumn="0" w:lastRowLastColumn="0"/>
            <w:tcW w:w="1568" w:type="dxa"/>
            <w:hideMark/>
          </w:tcPr>
          <w:p w:rsidR="00B2471D" w:rsidRPr="00865713" w:rsidRDefault="00B2471D" w:rsidP="00476396">
            <w:pPr>
              <w:ind w:left="0"/>
              <w:jc w:val="center"/>
              <w:rPr>
                <w:rFonts w:ascii="Times New Roman" w:hAnsi="Times New Roman" w:cs="Times New Roman"/>
                <w:b w:val="0"/>
                <w:iCs/>
                <w:sz w:val="24"/>
                <w:szCs w:val="24"/>
              </w:rPr>
            </w:pPr>
            <w:r w:rsidRPr="00865713">
              <w:rPr>
                <w:rFonts w:ascii="Times New Roman" w:hAnsi="Times New Roman" w:cs="Times New Roman"/>
                <w:b w:val="0"/>
                <w:iCs/>
                <w:sz w:val="24"/>
                <w:szCs w:val="24"/>
              </w:rPr>
              <w:t>2.</w:t>
            </w:r>
          </w:p>
        </w:tc>
        <w:tc>
          <w:tcPr>
            <w:tcW w:w="1998" w:type="dxa"/>
            <w:hideMark/>
          </w:tcPr>
          <w:p w:rsidR="00B2471D" w:rsidRDefault="00B2471D" w:rsidP="00476396">
            <w:pPr>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sz w:val="24"/>
                <w:szCs w:val="24"/>
              </w:rPr>
            </w:pPr>
            <w:r>
              <w:rPr>
                <w:rFonts w:ascii="Times New Roman" w:hAnsi="Times New Roman" w:cs="Times New Roman"/>
                <w:iCs/>
                <w:sz w:val="24"/>
                <w:szCs w:val="24"/>
              </w:rPr>
              <w:t>Negatif</w:t>
            </w:r>
          </w:p>
        </w:tc>
        <w:tc>
          <w:tcPr>
            <w:tcW w:w="1997" w:type="dxa"/>
            <w:hideMark/>
          </w:tcPr>
          <w:p w:rsidR="00B2471D" w:rsidRDefault="00B2471D" w:rsidP="00476396">
            <w:pPr>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sz w:val="24"/>
                <w:szCs w:val="24"/>
              </w:rPr>
            </w:pPr>
            <w:r>
              <w:rPr>
                <w:rFonts w:ascii="Times New Roman" w:hAnsi="Times New Roman" w:cs="Times New Roman"/>
                <w:iCs/>
                <w:sz w:val="24"/>
                <w:szCs w:val="24"/>
              </w:rPr>
              <w:t>21</w:t>
            </w:r>
          </w:p>
        </w:tc>
        <w:tc>
          <w:tcPr>
            <w:tcW w:w="1997" w:type="dxa"/>
            <w:hideMark/>
          </w:tcPr>
          <w:p w:rsidR="00B2471D" w:rsidRDefault="00B2471D" w:rsidP="00476396">
            <w:pPr>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sz w:val="24"/>
                <w:szCs w:val="24"/>
              </w:rPr>
            </w:pPr>
            <w:r>
              <w:rPr>
                <w:rFonts w:ascii="Times New Roman" w:hAnsi="Times New Roman" w:cs="Times New Roman"/>
                <w:iCs/>
                <w:sz w:val="24"/>
                <w:szCs w:val="24"/>
              </w:rPr>
              <w:t>91,3</w:t>
            </w:r>
          </w:p>
        </w:tc>
      </w:tr>
      <w:tr w:rsidR="00B2471D" w:rsidTr="00476396">
        <w:trPr>
          <w:cnfStyle w:val="000000100000" w:firstRow="0" w:lastRow="0" w:firstColumn="0" w:lastColumn="0" w:oddVBand="0" w:evenVBand="0" w:oddHBand="1" w:evenHBand="0" w:firstRowFirstColumn="0" w:firstRowLastColumn="0" w:lastRowFirstColumn="0" w:lastRowLastColumn="0"/>
          <w:trHeight w:val="451"/>
        </w:trPr>
        <w:tc>
          <w:tcPr>
            <w:cnfStyle w:val="001000000000" w:firstRow="0" w:lastRow="0" w:firstColumn="1" w:lastColumn="0" w:oddVBand="0" w:evenVBand="0" w:oddHBand="0" w:evenHBand="0" w:firstRowFirstColumn="0" w:firstRowLastColumn="0" w:lastRowFirstColumn="0" w:lastRowLastColumn="0"/>
            <w:tcW w:w="3566" w:type="dxa"/>
            <w:gridSpan w:val="2"/>
          </w:tcPr>
          <w:p w:rsidR="00B2471D" w:rsidRPr="00865713" w:rsidRDefault="00B2471D" w:rsidP="00476396">
            <w:pPr>
              <w:ind w:left="0"/>
              <w:jc w:val="center"/>
              <w:rPr>
                <w:rFonts w:ascii="Times New Roman" w:hAnsi="Times New Roman" w:cs="Times New Roman"/>
                <w:iCs/>
                <w:sz w:val="24"/>
                <w:szCs w:val="24"/>
              </w:rPr>
            </w:pPr>
            <w:r w:rsidRPr="00865713">
              <w:rPr>
                <w:rFonts w:ascii="Times New Roman" w:hAnsi="Times New Roman" w:cs="Times New Roman"/>
                <w:iCs/>
                <w:sz w:val="24"/>
                <w:szCs w:val="24"/>
              </w:rPr>
              <w:t>Total</w:t>
            </w:r>
          </w:p>
        </w:tc>
        <w:tc>
          <w:tcPr>
            <w:tcW w:w="1997" w:type="dxa"/>
            <w:hideMark/>
          </w:tcPr>
          <w:p w:rsidR="00B2471D" w:rsidRDefault="00B2471D" w:rsidP="00476396">
            <w:pPr>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Cs/>
                <w:sz w:val="24"/>
                <w:szCs w:val="24"/>
              </w:rPr>
            </w:pPr>
            <w:r>
              <w:rPr>
                <w:rFonts w:ascii="Times New Roman" w:hAnsi="Times New Roman" w:cs="Times New Roman"/>
                <w:iCs/>
                <w:sz w:val="24"/>
                <w:szCs w:val="24"/>
              </w:rPr>
              <w:t>23</w:t>
            </w:r>
          </w:p>
        </w:tc>
        <w:tc>
          <w:tcPr>
            <w:tcW w:w="1997" w:type="dxa"/>
            <w:hideMark/>
          </w:tcPr>
          <w:p w:rsidR="00B2471D" w:rsidRDefault="00B2471D" w:rsidP="00476396">
            <w:pPr>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Cs/>
                <w:sz w:val="24"/>
                <w:szCs w:val="24"/>
              </w:rPr>
            </w:pPr>
            <w:r>
              <w:rPr>
                <w:rFonts w:ascii="Times New Roman" w:hAnsi="Times New Roman" w:cs="Times New Roman"/>
                <w:iCs/>
                <w:sz w:val="24"/>
                <w:szCs w:val="24"/>
              </w:rPr>
              <w:t>100</w:t>
            </w:r>
          </w:p>
        </w:tc>
      </w:tr>
    </w:tbl>
    <w:p w:rsidR="00B2471D" w:rsidRPr="00033579" w:rsidRDefault="00B2471D" w:rsidP="00B2471D">
      <w:pPr>
        <w:spacing w:after="0" w:line="480" w:lineRule="auto"/>
        <w:jc w:val="both"/>
        <w:rPr>
          <w:rFonts w:ascii="Times New Roman" w:hAnsi="Times New Roman" w:cs="Times New Roman"/>
          <w:iCs/>
          <w:sz w:val="24"/>
          <w:szCs w:val="24"/>
        </w:rPr>
      </w:pPr>
    </w:p>
    <w:p w:rsidR="00B2471D" w:rsidRDefault="00B2471D" w:rsidP="00B2471D">
      <w:pPr>
        <w:spacing w:after="0" w:line="240" w:lineRule="auto"/>
        <w:contextualSpacing/>
        <w:jc w:val="center"/>
        <w:rPr>
          <w:rFonts w:ascii="Times New Roman" w:hAnsi="Times New Roman" w:cs="Times New Roman"/>
          <w:iCs/>
          <w:sz w:val="24"/>
          <w:szCs w:val="24"/>
        </w:rPr>
      </w:pPr>
      <w:r w:rsidRPr="00BE18DA">
        <w:rPr>
          <w:rFonts w:ascii="Times New Roman" w:hAnsi="Times New Roman" w:cs="Times New Roman"/>
          <w:iCs/>
          <w:noProof/>
          <w:sz w:val="24"/>
          <w:szCs w:val="24"/>
        </w:rPr>
        <w:drawing>
          <wp:inline distT="0" distB="0" distL="0" distR="0" wp14:anchorId="020965C3" wp14:editId="3D9189C3">
            <wp:extent cx="2234851" cy="2115879"/>
            <wp:effectExtent l="0" t="0" r="0" b="0"/>
            <wp:docPr id="9" name="Picture 9" descr="C:\Users\prans\AppData\Local\Packages\5319275A.WhatsAppDesktop_cv1g1gvanyjgm\TempState\D7A84628C025D30F7B2C52C958767E76\Gambar WhatsApp 2025-05-17 pukul 09.23.28_4f944a8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prans\AppData\Local\Packages\5319275A.WhatsAppDesktop_cv1g1gvanyjgm\TempState\D7A84628C025D30F7B2C52C958767E76\Gambar WhatsApp 2025-05-17 pukul 09.23.28_4f944a88.jp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7384" t="4782" r="25742" b="10831"/>
                    <a:stretch/>
                  </pic:blipFill>
                  <pic:spPr bwMode="auto">
                    <a:xfrm>
                      <a:off x="0" y="0"/>
                      <a:ext cx="2239642" cy="2120415"/>
                    </a:xfrm>
                    <a:prstGeom prst="rect">
                      <a:avLst/>
                    </a:prstGeom>
                    <a:noFill/>
                    <a:ln>
                      <a:noFill/>
                    </a:ln>
                    <a:extLst>
                      <a:ext uri="{53640926-AAD7-44D8-BBD7-CCE9431645EC}">
                        <a14:shadowObscured xmlns:a14="http://schemas.microsoft.com/office/drawing/2010/main"/>
                      </a:ext>
                    </a:extLst>
                  </pic:spPr>
                </pic:pic>
              </a:graphicData>
            </a:graphic>
          </wp:inline>
        </w:drawing>
      </w:r>
      <w:r>
        <w:rPr>
          <w:rFonts w:ascii="Times New Roman" w:hAnsi="Times New Roman" w:cs="Times New Roman"/>
          <w:iCs/>
          <w:sz w:val="24"/>
          <w:szCs w:val="24"/>
        </w:rPr>
        <w:t xml:space="preserve"> </w:t>
      </w:r>
      <w:r w:rsidRPr="00BE18DA">
        <w:rPr>
          <w:rFonts w:ascii="Times New Roman" w:hAnsi="Times New Roman" w:cs="Times New Roman"/>
          <w:iCs/>
          <w:noProof/>
          <w:sz w:val="24"/>
          <w:szCs w:val="24"/>
        </w:rPr>
        <w:drawing>
          <wp:inline distT="0" distB="0" distL="0" distR="0" wp14:anchorId="135EBFDB" wp14:editId="34F30003">
            <wp:extent cx="2211469" cy="2125234"/>
            <wp:effectExtent l="0" t="0" r="0" b="8890"/>
            <wp:docPr id="10" name="Picture 10" descr="C:\Users\prans\AppData\Local\Packages\5319275A.WhatsAppDesktop_cv1g1gvanyjgm\TempState\D7A84628C025D30F7B2C52C958767E76\Gambar WhatsApp 2025-05-17 pukul 09.23.28_4f944a8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prans\AppData\Local\Packages\5319275A.WhatsAppDesktop_cv1g1gvanyjgm\TempState\D7A84628C025D30F7B2C52C958767E76\Gambar WhatsApp 2025-05-17 pukul 09.23.28_4f944a88.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8743" t="20900" r="40617" b="27045"/>
                    <a:stretch/>
                  </pic:blipFill>
                  <pic:spPr bwMode="auto">
                    <a:xfrm>
                      <a:off x="0" y="0"/>
                      <a:ext cx="2216027" cy="2129614"/>
                    </a:xfrm>
                    <a:prstGeom prst="rect">
                      <a:avLst/>
                    </a:prstGeom>
                    <a:noFill/>
                    <a:ln>
                      <a:noFill/>
                    </a:ln>
                    <a:extLst>
                      <a:ext uri="{53640926-AAD7-44D8-BBD7-CCE9431645EC}">
                        <a14:shadowObscured xmlns:a14="http://schemas.microsoft.com/office/drawing/2010/main"/>
                      </a:ext>
                    </a:extLst>
                  </pic:spPr>
                </pic:pic>
              </a:graphicData>
            </a:graphic>
          </wp:inline>
        </w:drawing>
      </w:r>
    </w:p>
    <w:p w:rsidR="00B2471D" w:rsidRPr="00967FC1" w:rsidRDefault="00B2471D" w:rsidP="00B2471D">
      <w:pPr>
        <w:pStyle w:val="ListParagraph"/>
        <w:numPr>
          <w:ilvl w:val="0"/>
          <w:numId w:val="2"/>
        </w:numPr>
        <w:spacing w:after="0" w:line="240" w:lineRule="auto"/>
        <w:rPr>
          <w:rFonts w:ascii="Times New Roman" w:hAnsi="Times New Roman" w:cs="Times New Roman"/>
          <w:iCs/>
          <w:sz w:val="24"/>
          <w:szCs w:val="24"/>
        </w:rPr>
      </w:pPr>
      <w:r>
        <w:rPr>
          <w:rFonts w:ascii="Times New Roman" w:hAnsi="Times New Roman" w:cs="Times New Roman"/>
          <w:iCs/>
          <w:sz w:val="24"/>
          <w:szCs w:val="24"/>
        </w:rPr>
        <w:t xml:space="preserve"> </w:t>
      </w:r>
      <w:r>
        <w:rPr>
          <w:rFonts w:ascii="Times New Roman" w:hAnsi="Times New Roman" w:cs="Times New Roman"/>
          <w:iCs/>
          <w:sz w:val="24"/>
          <w:szCs w:val="24"/>
        </w:rPr>
        <w:tab/>
      </w:r>
      <w:r>
        <w:rPr>
          <w:rFonts w:ascii="Times New Roman" w:hAnsi="Times New Roman" w:cs="Times New Roman"/>
          <w:iCs/>
          <w:sz w:val="24"/>
          <w:szCs w:val="24"/>
        </w:rPr>
        <w:tab/>
      </w:r>
      <w:r>
        <w:rPr>
          <w:rFonts w:ascii="Times New Roman" w:hAnsi="Times New Roman" w:cs="Times New Roman"/>
          <w:iCs/>
          <w:sz w:val="24"/>
          <w:szCs w:val="24"/>
        </w:rPr>
        <w:tab/>
      </w:r>
      <w:r>
        <w:rPr>
          <w:rFonts w:ascii="Times New Roman" w:hAnsi="Times New Roman" w:cs="Times New Roman"/>
          <w:iCs/>
          <w:sz w:val="24"/>
          <w:szCs w:val="24"/>
        </w:rPr>
        <w:tab/>
      </w:r>
      <w:r>
        <w:rPr>
          <w:rFonts w:ascii="Times New Roman" w:hAnsi="Times New Roman" w:cs="Times New Roman"/>
          <w:iCs/>
          <w:sz w:val="24"/>
          <w:szCs w:val="24"/>
        </w:rPr>
        <w:tab/>
        <w:t>(B)</w:t>
      </w:r>
    </w:p>
    <w:p w:rsidR="00B2471D" w:rsidRPr="00967FC1" w:rsidRDefault="00B2471D" w:rsidP="00B2471D">
      <w:pPr>
        <w:spacing w:after="0" w:line="240" w:lineRule="auto"/>
        <w:contextualSpacing/>
        <w:jc w:val="center"/>
        <w:rPr>
          <w:rFonts w:ascii="Times New Roman" w:hAnsi="Times New Roman" w:cs="Times New Roman"/>
          <w:iCs/>
          <w:sz w:val="24"/>
          <w:szCs w:val="24"/>
        </w:rPr>
      </w:pPr>
      <w:r>
        <w:rPr>
          <w:rFonts w:ascii="Times New Roman" w:hAnsi="Times New Roman" w:cs="Times New Roman"/>
          <w:iCs/>
          <w:sz w:val="24"/>
          <w:szCs w:val="24"/>
        </w:rPr>
        <w:t>Gambar 4.1 Hasil mikroskopis positif dengan KOH 10% + Methyline Blue (pembesaran 400x) (A) dan struktur mikroskopis</w:t>
      </w:r>
      <w:r>
        <w:rPr>
          <w:rFonts w:ascii="Times New Roman" w:hAnsi="Times New Roman" w:cs="Times New Roman"/>
          <w:i/>
          <w:sz w:val="24"/>
          <w:szCs w:val="24"/>
        </w:rPr>
        <w:t xml:space="preserve"> Malassezia furfur </w:t>
      </w:r>
      <w:r>
        <w:rPr>
          <w:rFonts w:ascii="Times New Roman" w:hAnsi="Times New Roman" w:cs="Times New Roman"/>
          <w:iCs/>
          <w:sz w:val="24"/>
          <w:szCs w:val="24"/>
        </w:rPr>
        <w:t>(B)</w:t>
      </w:r>
    </w:p>
    <w:p w:rsidR="00B2471D" w:rsidRDefault="00B2471D" w:rsidP="00B2471D">
      <w:pPr>
        <w:spacing w:after="0" w:line="240" w:lineRule="auto"/>
        <w:contextualSpacing/>
        <w:jc w:val="center"/>
        <w:rPr>
          <w:rFonts w:ascii="Times New Roman" w:hAnsi="Times New Roman" w:cs="Times New Roman"/>
          <w:iCs/>
          <w:sz w:val="24"/>
          <w:szCs w:val="24"/>
        </w:rPr>
      </w:pPr>
    </w:p>
    <w:p w:rsidR="00B2471D" w:rsidRDefault="00B2471D" w:rsidP="00B2471D">
      <w:pPr>
        <w:spacing w:after="0" w:line="240" w:lineRule="auto"/>
        <w:contextualSpacing/>
        <w:jc w:val="center"/>
        <w:rPr>
          <w:rFonts w:ascii="Times New Roman" w:hAnsi="Times New Roman" w:cs="Times New Roman"/>
          <w:iCs/>
          <w:sz w:val="24"/>
          <w:szCs w:val="24"/>
        </w:rPr>
      </w:pPr>
    </w:p>
    <w:p w:rsidR="00B2471D" w:rsidRPr="00002967" w:rsidRDefault="00B2471D" w:rsidP="00B2471D">
      <w:pPr>
        <w:spacing w:after="0" w:line="240" w:lineRule="auto"/>
        <w:contextualSpacing/>
        <w:jc w:val="center"/>
        <w:rPr>
          <w:rFonts w:ascii="Times New Roman" w:hAnsi="Times New Roman" w:cs="Times New Roman"/>
          <w:iCs/>
          <w:sz w:val="24"/>
          <w:szCs w:val="24"/>
        </w:rPr>
      </w:pPr>
    </w:p>
    <w:p w:rsidR="00B2471D" w:rsidRPr="00E672AC" w:rsidRDefault="00B2471D" w:rsidP="00B2471D">
      <w:pPr>
        <w:spacing w:after="0" w:line="480" w:lineRule="auto"/>
        <w:jc w:val="both"/>
        <w:rPr>
          <w:rFonts w:ascii="Times New Roman" w:hAnsi="Times New Roman" w:cs="Times New Roman"/>
          <w:b/>
          <w:iCs/>
          <w:sz w:val="24"/>
          <w:szCs w:val="24"/>
        </w:rPr>
      </w:pPr>
      <w:r>
        <w:rPr>
          <w:rFonts w:ascii="Times New Roman" w:hAnsi="Times New Roman" w:cs="Times New Roman"/>
          <w:b/>
          <w:iCs/>
          <w:sz w:val="24"/>
          <w:szCs w:val="24"/>
        </w:rPr>
        <w:t>B. Pemeriksaan KOH 10% + Tinta Parker Blue Black</w:t>
      </w:r>
    </w:p>
    <w:p w:rsidR="00B2471D" w:rsidRDefault="00B2471D" w:rsidP="00B2471D">
      <w:pPr>
        <w:spacing w:after="0" w:line="480" w:lineRule="auto"/>
        <w:ind w:left="426" w:firstLine="357"/>
        <w:jc w:val="both"/>
        <w:rPr>
          <w:rFonts w:ascii="Times New Roman" w:hAnsi="Times New Roman" w:cs="Times New Roman"/>
          <w:iCs/>
          <w:sz w:val="24"/>
          <w:szCs w:val="24"/>
        </w:rPr>
      </w:pPr>
      <w:r w:rsidRPr="00082C97">
        <w:rPr>
          <w:rFonts w:ascii="Times New Roman" w:hAnsi="Times New Roman" w:cs="Times New Roman"/>
          <w:iCs/>
          <w:sz w:val="24"/>
          <w:szCs w:val="24"/>
        </w:rPr>
        <w:lastRenderedPageBreak/>
        <w:t xml:space="preserve">Hasil </w:t>
      </w:r>
      <w:r>
        <w:rPr>
          <w:rFonts w:ascii="Times New Roman" w:hAnsi="Times New Roman" w:cs="Times New Roman"/>
          <w:iCs/>
          <w:sz w:val="24"/>
          <w:szCs w:val="24"/>
        </w:rPr>
        <w:t xml:space="preserve">pemeriksaan tinea versicolor menggunakan KOH 10% + Tinta Parker </w:t>
      </w:r>
      <w:r w:rsidRPr="00E672AC">
        <w:rPr>
          <w:rFonts w:ascii="Times New Roman" w:hAnsi="Times New Roman" w:cs="Times New Roman"/>
          <w:i/>
          <w:iCs/>
          <w:sz w:val="24"/>
          <w:szCs w:val="24"/>
        </w:rPr>
        <w:t>blue black</w:t>
      </w:r>
      <w:r>
        <w:rPr>
          <w:rFonts w:ascii="Times New Roman" w:hAnsi="Times New Roman" w:cs="Times New Roman"/>
          <w:iCs/>
          <w:sz w:val="24"/>
          <w:szCs w:val="24"/>
        </w:rPr>
        <w:t xml:space="preserve">, dari 23 sampel menunjukkan bahwa 13 sampel (56,5%) dengan hasil pemeriksaan positif dan 10 sampel (43,5%) dengan hasil pemeriksaan negatif (Tabel 4.3). Hasil positif ditandai dengan adanya struktur sel uniseluler, lonjong atau bulat, membentuk kelompok sel khamir atau spora dengan atau tanpa tunas dan membentuk pola seperti “spageti” dan “meatball” (Gambar 4.2). </w:t>
      </w:r>
    </w:p>
    <w:p w:rsidR="00B2471D" w:rsidRDefault="00B2471D" w:rsidP="00B2471D">
      <w:pPr>
        <w:spacing w:after="0" w:line="240" w:lineRule="auto"/>
        <w:jc w:val="center"/>
        <w:rPr>
          <w:rFonts w:ascii="Times New Roman" w:hAnsi="Times New Roman" w:cs="Times New Roman"/>
          <w:b/>
          <w:iCs/>
          <w:sz w:val="24"/>
          <w:szCs w:val="24"/>
        </w:rPr>
      </w:pPr>
      <w:r>
        <w:rPr>
          <w:rFonts w:ascii="Times New Roman" w:hAnsi="Times New Roman" w:cs="Times New Roman"/>
          <w:b/>
          <w:iCs/>
          <w:sz w:val="24"/>
          <w:szCs w:val="24"/>
        </w:rPr>
        <w:t>Tabel 4.3 Hasil Pemeriksaan KOH 10% + Tinta Parker Blue Black</w:t>
      </w:r>
    </w:p>
    <w:p w:rsidR="00B2471D" w:rsidRDefault="00B2471D" w:rsidP="00B2471D">
      <w:pPr>
        <w:spacing w:after="0" w:line="240" w:lineRule="auto"/>
        <w:jc w:val="center"/>
        <w:rPr>
          <w:rFonts w:ascii="Times New Roman" w:hAnsi="Times New Roman" w:cs="Times New Roman"/>
          <w:b/>
          <w:iCs/>
          <w:sz w:val="24"/>
          <w:szCs w:val="24"/>
        </w:rPr>
      </w:pPr>
    </w:p>
    <w:tbl>
      <w:tblPr>
        <w:tblStyle w:val="PlainTable2"/>
        <w:tblW w:w="7571" w:type="dxa"/>
        <w:tblLook w:val="04A0" w:firstRow="1" w:lastRow="0" w:firstColumn="1" w:lastColumn="0" w:noHBand="0" w:noVBand="1"/>
      </w:tblPr>
      <w:tblGrid>
        <w:gridCol w:w="1882"/>
        <w:gridCol w:w="1929"/>
        <w:gridCol w:w="1874"/>
        <w:gridCol w:w="1886"/>
      </w:tblGrid>
      <w:tr w:rsidR="00B2471D" w:rsidTr="0047639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82" w:type="dxa"/>
          </w:tcPr>
          <w:p w:rsidR="00B2471D" w:rsidRPr="00865713" w:rsidRDefault="00B2471D" w:rsidP="00476396">
            <w:pPr>
              <w:ind w:left="0"/>
              <w:jc w:val="center"/>
              <w:rPr>
                <w:rFonts w:ascii="Times New Roman" w:hAnsi="Times New Roman" w:cs="Times New Roman"/>
                <w:iCs/>
                <w:sz w:val="24"/>
                <w:szCs w:val="24"/>
              </w:rPr>
            </w:pPr>
            <w:r w:rsidRPr="00865713">
              <w:rPr>
                <w:rFonts w:ascii="Times New Roman" w:hAnsi="Times New Roman" w:cs="Times New Roman"/>
                <w:iCs/>
                <w:sz w:val="24"/>
                <w:szCs w:val="24"/>
              </w:rPr>
              <w:t>No.</w:t>
            </w:r>
          </w:p>
        </w:tc>
        <w:tc>
          <w:tcPr>
            <w:tcW w:w="1929" w:type="dxa"/>
          </w:tcPr>
          <w:p w:rsidR="00B2471D" w:rsidRPr="00865713" w:rsidRDefault="00B2471D" w:rsidP="00476396">
            <w:pPr>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iCs/>
                <w:sz w:val="24"/>
                <w:szCs w:val="24"/>
              </w:rPr>
            </w:pPr>
            <w:r w:rsidRPr="00865713">
              <w:rPr>
                <w:rFonts w:ascii="Times New Roman" w:hAnsi="Times New Roman" w:cs="Times New Roman"/>
                <w:iCs/>
                <w:sz w:val="24"/>
                <w:szCs w:val="24"/>
              </w:rPr>
              <w:t xml:space="preserve">Frekuensi </w:t>
            </w:r>
          </w:p>
        </w:tc>
        <w:tc>
          <w:tcPr>
            <w:tcW w:w="1874" w:type="dxa"/>
          </w:tcPr>
          <w:p w:rsidR="00B2471D" w:rsidRPr="00865713" w:rsidRDefault="00B2471D" w:rsidP="00476396">
            <w:pPr>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iCs/>
                <w:sz w:val="24"/>
                <w:szCs w:val="24"/>
              </w:rPr>
            </w:pPr>
            <w:r w:rsidRPr="00865713">
              <w:rPr>
                <w:rFonts w:ascii="Times New Roman" w:hAnsi="Times New Roman" w:cs="Times New Roman"/>
                <w:iCs/>
                <w:sz w:val="24"/>
                <w:szCs w:val="24"/>
              </w:rPr>
              <w:t>n</w:t>
            </w:r>
          </w:p>
        </w:tc>
        <w:tc>
          <w:tcPr>
            <w:tcW w:w="1886" w:type="dxa"/>
          </w:tcPr>
          <w:p w:rsidR="00B2471D" w:rsidRPr="00865713" w:rsidRDefault="00B2471D" w:rsidP="00476396">
            <w:pPr>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iCs/>
                <w:sz w:val="24"/>
                <w:szCs w:val="24"/>
              </w:rPr>
            </w:pPr>
            <w:r w:rsidRPr="00865713">
              <w:rPr>
                <w:rFonts w:ascii="Times New Roman" w:hAnsi="Times New Roman" w:cs="Times New Roman"/>
                <w:iCs/>
                <w:sz w:val="24"/>
                <w:szCs w:val="24"/>
              </w:rPr>
              <w:t>%</w:t>
            </w:r>
          </w:p>
        </w:tc>
      </w:tr>
      <w:tr w:rsidR="00B2471D" w:rsidTr="004763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82" w:type="dxa"/>
          </w:tcPr>
          <w:p w:rsidR="00B2471D" w:rsidRPr="00865713" w:rsidRDefault="00B2471D" w:rsidP="00476396">
            <w:pPr>
              <w:spacing w:line="360" w:lineRule="auto"/>
              <w:ind w:left="0"/>
              <w:jc w:val="center"/>
              <w:rPr>
                <w:rFonts w:ascii="Times New Roman" w:hAnsi="Times New Roman" w:cs="Times New Roman"/>
                <w:b w:val="0"/>
                <w:iCs/>
                <w:sz w:val="24"/>
                <w:szCs w:val="24"/>
              </w:rPr>
            </w:pPr>
            <w:r w:rsidRPr="00865713">
              <w:rPr>
                <w:rFonts w:ascii="Times New Roman" w:hAnsi="Times New Roman" w:cs="Times New Roman"/>
                <w:b w:val="0"/>
                <w:iCs/>
                <w:sz w:val="24"/>
                <w:szCs w:val="24"/>
              </w:rPr>
              <w:t xml:space="preserve">1. </w:t>
            </w:r>
          </w:p>
        </w:tc>
        <w:tc>
          <w:tcPr>
            <w:tcW w:w="1929" w:type="dxa"/>
          </w:tcPr>
          <w:p w:rsidR="00B2471D" w:rsidRDefault="00B2471D" w:rsidP="00476396">
            <w:pPr>
              <w:spacing w:line="36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Cs/>
                <w:sz w:val="24"/>
                <w:szCs w:val="24"/>
              </w:rPr>
            </w:pPr>
            <w:r>
              <w:rPr>
                <w:rFonts w:ascii="Times New Roman" w:hAnsi="Times New Roman" w:cs="Times New Roman"/>
                <w:iCs/>
                <w:sz w:val="24"/>
                <w:szCs w:val="24"/>
              </w:rPr>
              <w:t xml:space="preserve">Positif </w:t>
            </w:r>
          </w:p>
        </w:tc>
        <w:tc>
          <w:tcPr>
            <w:tcW w:w="1874" w:type="dxa"/>
          </w:tcPr>
          <w:p w:rsidR="00B2471D" w:rsidRDefault="00B2471D" w:rsidP="00476396">
            <w:pPr>
              <w:spacing w:line="36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Cs/>
                <w:sz w:val="24"/>
                <w:szCs w:val="24"/>
              </w:rPr>
            </w:pPr>
            <w:r>
              <w:rPr>
                <w:rFonts w:ascii="Times New Roman" w:hAnsi="Times New Roman" w:cs="Times New Roman"/>
                <w:iCs/>
                <w:sz w:val="24"/>
                <w:szCs w:val="24"/>
              </w:rPr>
              <w:t>13</w:t>
            </w:r>
          </w:p>
        </w:tc>
        <w:tc>
          <w:tcPr>
            <w:tcW w:w="1886" w:type="dxa"/>
          </w:tcPr>
          <w:p w:rsidR="00B2471D" w:rsidRDefault="00B2471D" w:rsidP="00476396">
            <w:pPr>
              <w:spacing w:line="36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Cs/>
                <w:sz w:val="24"/>
                <w:szCs w:val="24"/>
              </w:rPr>
            </w:pPr>
            <w:r>
              <w:rPr>
                <w:rFonts w:ascii="Times New Roman" w:hAnsi="Times New Roman" w:cs="Times New Roman"/>
                <w:iCs/>
                <w:sz w:val="24"/>
                <w:szCs w:val="24"/>
              </w:rPr>
              <w:t>56,5</w:t>
            </w:r>
          </w:p>
        </w:tc>
      </w:tr>
      <w:tr w:rsidR="00B2471D" w:rsidTr="00476396">
        <w:tc>
          <w:tcPr>
            <w:cnfStyle w:val="001000000000" w:firstRow="0" w:lastRow="0" w:firstColumn="1" w:lastColumn="0" w:oddVBand="0" w:evenVBand="0" w:oddHBand="0" w:evenHBand="0" w:firstRowFirstColumn="0" w:firstRowLastColumn="0" w:lastRowFirstColumn="0" w:lastRowLastColumn="0"/>
            <w:tcW w:w="1882" w:type="dxa"/>
          </w:tcPr>
          <w:p w:rsidR="00B2471D" w:rsidRPr="00865713" w:rsidRDefault="00B2471D" w:rsidP="00476396">
            <w:pPr>
              <w:spacing w:line="360" w:lineRule="auto"/>
              <w:ind w:left="0"/>
              <w:jc w:val="center"/>
              <w:rPr>
                <w:rFonts w:ascii="Times New Roman" w:hAnsi="Times New Roman" w:cs="Times New Roman"/>
                <w:b w:val="0"/>
                <w:iCs/>
                <w:sz w:val="24"/>
                <w:szCs w:val="24"/>
              </w:rPr>
            </w:pPr>
            <w:r w:rsidRPr="00865713">
              <w:rPr>
                <w:rFonts w:ascii="Times New Roman" w:hAnsi="Times New Roman" w:cs="Times New Roman"/>
                <w:b w:val="0"/>
                <w:iCs/>
                <w:sz w:val="24"/>
                <w:szCs w:val="24"/>
              </w:rPr>
              <w:t xml:space="preserve">2. </w:t>
            </w:r>
          </w:p>
        </w:tc>
        <w:tc>
          <w:tcPr>
            <w:tcW w:w="1929" w:type="dxa"/>
          </w:tcPr>
          <w:p w:rsidR="00B2471D" w:rsidRDefault="00B2471D" w:rsidP="00476396">
            <w:pPr>
              <w:spacing w:line="36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sz w:val="24"/>
                <w:szCs w:val="24"/>
              </w:rPr>
            </w:pPr>
            <w:r>
              <w:rPr>
                <w:rFonts w:ascii="Times New Roman" w:hAnsi="Times New Roman" w:cs="Times New Roman"/>
                <w:iCs/>
                <w:sz w:val="24"/>
                <w:szCs w:val="24"/>
              </w:rPr>
              <w:t xml:space="preserve">Negatif </w:t>
            </w:r>
          </w:p>
        </w:tc>
        <w:tc>
          <w:tcPr>
            <w:tcW w:w="1874" w:type="dxa"/>
          </w:tcPr>
          <w:p w:rsidR="00B2471D" w:rsidRDefault="00B2471D" w:rsidP="00476396">
            <w:pPr>
              <w:spacing w:line="36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sz w:val="24"/>
                <w:szCs w:val="24"/>
              </w:rPr>
            </w:pPr>
            <w:r>
              <w:rPr>
                <w:rFonts w:ascii="Times New Roman" w:hAnsi="Times New Roman" w:cs="Times New Roman"/>
                <w:iCs/>
                <w:sz w:val="24"/>
                <w:szCs w:val="24"/>
              </w:rPr>
              <w:t>10</w:t>
            </w:r>
          </w:p>
        </w:tc>
        <w:tc>
          <w:tcPr>
            <w:tcW w:w="1886" w:type="dxa"/>
          </w:tcPr>
          <w:p w:rsidR="00B2471D" w:rsidRDefault="00B2471D" w:rsidP="00476396">
            <w:pPr>
              <w:spacing w:line="36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sz w:val="24"/>
                <w:szCs w:val="24"/>
              </w:rPr>
            </w:pPr>
            <w:r>
              <w:rPr>
                <w:rFonts w:ascii="Times New Roman" w:hAnsi="Times New Roman" w:cs="Times New Roman"/>
                <w:iCs/>
                <w:sz w:val="24"/>
                <w:szCs w:val="24"/>
              </w:rPr>
              <w:t>43,5</w:t>
            </w:r>
          </w:p>
        </w:tc>
      </w:tr>
      <w:tr w:rsidR="00B2471D" w:rsidTr="004763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11" w:type="dxa"/>
            <w:gridSpan w:val="2"/>
          </w:tcPr>
          <w:p w:rsidR="00B2471D" w:rsidRDefault="00B2471D" w:rsidP="00476396">
            <w:pPr>
              <w:spacing w:line="360" w:lineRule="auto"/>
              <w:ind w:left="0"/>
              <w:jc w:val="center"/>
              <w:rPr>
                <w:rFonts w:ascii="Times New Roman" w:hAnsi="Times New Roman" w:cs="Times New Roman"/>
                <w:iCs/>
                <w:sz w:val="24"/>
                <w:szCs w:val="24"/>
              </w:rPr>
            </w:pPr>
            <w:r>
              <w:rPr>
                <w:rFonts w:ascii="Times New Roman" w:hAnsi="Times New Roman" w:cs="Times New Roman"/>
                <w:iCs/>
                <w:sz w:val="24"/>
                <w:szCs w:val="24"/>
              </w:rPr>
              <w:t xml:space="preserve">Total </w:t>
            </w:r>
          </w:p>
        </w:tc>
        <w:tc>
          <w:tcPr>
            <w:tcW w:w="1874" w:type="dxa"/>
          </w:tcPr>
          <w:p w:rsidR="00B2471D" w:rsidRDefault="00B2471D" w:rsidP="00476396">
            <w:pPr>
              <w:spacing w:line="36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Cs/>
                <w:sz w:val="24"/>
                <w:szCs w:val="24"/>
              </w:rPr>
            </w:pPr>
            <w:r>
              <w:rPr>
                <w:rFonts w:ascii="Times New Roman" w:hAnsi="Times New Roman" w:cs="Times New Roman"/>
                <w:iCs/>
                <w:sz w:val="24"/>
                <w:szCs w:val="24"/>
              </w:rPr>
              <w:t>23</w:t>
            </w:r>
          </w:p>
        </w:tc>
        <w:tc>
          <w:tcPr>
            <w:tcW w:w="1886" w:type="dxa"/>
          </w:tcPr>
          <w:p w:rsidR="00B2471D" w:rsidRDefault="00B2471D" w:rsidP="00476396">
            <w:pPr>
              <w:spacing w:line="36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Cs/>
                <w:sz w:val="24"/>
                <w:szCs w:val="24"/>
              </w:rPr>
            </w:pPr>
            <w:r>
              <w:rPr>
                <w:rFonts w:ascii="Times New Roman" w:hAnsi="Times New Roman" w:cs="Times New Roman"/>
                <w:iCs/>
                <w:sz w:val="24"/>
                <w:szCs w:val="24"/>
              </w:rPr>
              <w:t>100</w:t>
            </w:r>
          </w:p>
        </w:tc>
      </w:tr>
    </w:tbl>
    <w:p w:rsidR="00B2471D" w:rsidRDefault="00B2471D" w:rsidP="00B2471D">
      <w:pPr>
        <w:spacing w:after="0" w:line="480" w:lineRule="auto"/>
        <w:jc w:val="both"/>
        <w:rPr>
          <w:rFonts w:ascii="Times New Roman" w:hAnsi="Times New Roman" w:cs="Times New Roman"/>
          <w:iCs/>
          <w:sz w:val="24"/>
          <w:szCs w:val="24"/>
        </w:rPr>
      </w:pPr>
    </w:p>
    <w:p w:rsidR="00B2471D" w:rsidRDefault="00B2471D" w:rsidP="00B2471D">
      <w:pPr>
        <w:spacing w:after="0" w:line="240" w:lineRule="auto"/>
        <w:jc w:val="center"/>
        <w:rPr>
          <w:rFonts w:ascii="Times New Roman" w:hAnsi="Times New Roman" w:cs="Times New Roman"/>
          <w:iCs/>
          <w:sz w:val="24"/>
          <w:szCs w:val="24"/>
        </w:rPr>
      </w:pPr>
      <w:r w:rsidRPr="00BE18DA">
        <w:rPr>
          <w:rFonts w:ascii="Times New Roman" w:hAnsi="Times New Roman" w:cs="Times New Roman"/>
          <w:iCs/>
          <w:noProof/>
          <w:sz w:val="24"/>
          <w:szCs w:val="24"/>
        </w:rPr>
        <w:drawing>
          <wp:inline distT="0" distB="0" distL="0" distR="0" wp14:anchorId="6954498E" wp14:editId="6196BDF3">
            <wp:extent cx="2352682" cy="2296174"/>
            <wp:effectExtent l="0" t="0" r="0" b="8890"/>
            <wp:docPr id="7" name="Picture 7" descr="C:\Users\prans\AppData\Local\Packages\5319275A.WhatsAppDesktop_cv1g1gvanyjgm\TempState\7B7A53E239400A13BD6BE6C91C4F6C4E\Gambar WhatsApp 2025-05-17 pukul 09.26.05_07f6e8d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rans\AppData\Local\Packages\5319275A.WhatsAppDesktop_cv1g1gvanyjgm\TempState\7B7A53E239400A13BD6BE6C91C4F6C4E\Gambar WhatsApp 2025-05-17 pukul 09.26.05_07f6e8d5.jp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9705" t="10603" r="2103" b="24826"/>
                    <a:stretch/>
                  </pic:blipFill>
                  <pic:spPr bwMode="auto">
                    <a:xfrm>
                      <a:off x="0" y="0"/>
                      <a:ext cx="2363207" cy="2306446"/>
                    </a:xfrm>
                    <a:prstGeom prst="rect">
                      <a:avLst/>
                    </a:prstGeom>
                    <a:noFill/>
                    <a:ln>
                      <a:noFill/>
                    </a:ln>
                    <a:extLst>
                      <a:ext uri="{53640926-AAD7-44D8-BBD7-CCE9431645EC}">
                        <a14:shadowObscured xmlns:a14="http://schemas.microsoft.com/office/drawing/2010/main"/>
                      </a:ext>
                    </a:extLst>
                  </pic:spPr>
                </pic:pic>
              </a:graphicData>
            </a:graphic>
          </wp:inline>
        </w:drawing>
      </w:r>
      <w:r>
        <w:rPr>
          <w:rFonts w:ascii="Times New Roman" w:hAnsi="Times New Roman" w:cs="Times New Roman"/>
          <w:iCs/>
          <w:sz w:val="24"/>
          <w:szCs w:val="24"/>
        </w:rPr>
        <w:t xml:space="preserve"> </w:t>
      </w:r>
      <w:r w:rsidRPr="00BE18DA">
        <w:rPr>
          <w:rFonts w:ascii="Times New Roman" w:hAnsi="Times New Roman" w:cs="Times New Roman"/>
          <w:iCs/>
          <w:noProof/>
          <w:sz w:val="24"/>
          <w:szCs w:val="24"/>
        </w:rPr>
        <w:drawing>
          <wp:inline distT="0" distB="0" distL="0" distR="0" wp14:anchorId="6F020CA9" wp14:editId="3CAC9320">
            <wp:extent cx="2288291" cy="2296249"/>
            <wp:effectExtent l="0" t="0" r="0" b="8890"/>
            <wp:docPr id="8" name="Picture 8" descr="C:\Users\prans\AppData\Local\Packages\5319275A.WhatsAppDesktop_cv1g1gvanyjgm\TempState\7B7A53E239400A13BD6BE6C91C4F6C4E\Gambar WhatsApp 2025-05-17 pukul 09.26.05_07f6e8d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rans\AppData\Local\Packages\5319275A.WhatsAppDesktop_cv1g1gvanyjgm\TempState\7B7A53E239400A13BD6BE6C91C4F6C4E\Gambar WhatsApp 2025-05-17 pukul 09.26.05_07f6e8d5.jp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27641" t="25164" r="20019" b="35435"/>
                    <a:stretch/>
                  </pic:blipFill>
                  <pic:spPr bwMode="auto">
                    <a:xfrm>
                      <a:off x="0" y="0"/>
                      <a:ext cx="2300204" cy="2308203"/>
                    </a:xfrm>
                    <a:prstGeom prst="rect">
                      <a:avLst/>
                    </a:prstGeom>
                    <a:noFill/>
                    <a:ln>
                      <a:noFill/>
                    </a:ln>
                    <a:extLst>
                      <a:ext uri="{53640926-AAD7-44D8-BBD7-CCE9431645EC}">
                        <a14:shadowObscured xmlns:a14="http://schemas.microsoft.com/office/drawing/2010/main"/>
                      </a:ext>
                    </a:extLst>
                  </pic:spPr>
                </pic:pic>
              </a:graphicData>
            </a:graphic>
          </wp:inline>
        </w:drawing>
      </w:r>
    </w:p>
    <w:p w:rsidR="00B2471D" w:rsidRPr="00967FC1" w:rsidRDefault="00B2471D" w:rsidP="00B2471D">
      <w:pPr>
        <w:pStyle w:val="ListParagraph"/>
        <w:numPr>
          <w:ilvl w:val="0"/>
          <w:numId w:val="1"/>
        </w:numPr>
        <w:spacing w:after="0" w:line="240" w:lineRule="auto"/>
        <w:rPr>
          <w:rFonts w:ascii="Times New Roman" w:hAnsi="Times New Roman" w:cs="Times New Roman"/>
          <w:iCs/>
          <w:sz w:val="24"/>
          <w:szCs w:val="24"/>
        </w:rPr>
      </w:pPr>
      <w:r>
        <w:rPr>
          <w:rFonts w:ascii="Times New Roman" w:hAnsi="Times New Roman" w:cs="Times New Roman"/>
          <w:iCs/>
          <w:sz w:val="24"/>
          <w:szCs w:val="24"/>
        </w:rPr>
        <w:t xml:space="preserve"> </w:t>
      </w:r>
      <w:r>
        <w:rPr>
          <w:rFonts w:ascii="Times New Roman" w:hAnsi="Times New Roman" w:cs="Times New Roman"/>
          <w:iCs/>
          <w:sz w:val="24"/>
          <w:szCs w:val="24"/>
        </w:rPr>
        <w:tab/>
      </w:r>
      <w:r>
        <w:rPr>
          <w:rFonts w:ascii="Times New Roman" w:hAnsi="Times New Roman" w:cs="Times New Roman"/>
          <w:iCs/>
          <w:sz w:val="24"/>
          <w:szCs w:val="24"/>
        </w:rPr>
        <w:tab/>
      </w:r>
      <w:r>
        <w:rPr>
          <w:rFonts w:ascii="Times New Roman" w:hAnsi="Times New Roman" w:cs="Times New Roman"/>
          <w:iCs/>
          <w:sz w:val="24"/>
          <w:szCs w:val="24"/>
        </w:rPr>
        <w:tab/>
      </w:r>
      <w:r>
        <w:rPr>
          <w:rFonts w:ascii="Times New Roman" w:hAnsi="Times New Roman" w:cs="Times New Roman"/>
          <w:iCs/>
          <w:sz w:val="24"/>
          <w:szCs w:val="24"/>
        </w:rPr>
        <w:tab/>
      </w:r>
      <w:r>
        <w:rPr>
          <w:rFonts w:ascii="Times New Roman" w:hAnsi="Times New Roman" w:cs="Times New Roman"/>
          <w:iCs/>
          <w:sz w:val="24"/>
          <w:szCs w:val="24"/>
        </w:rPr>
        <w:tab/>
        <w:t>(B)</w:t>
      </w:r>
    </w:p>
    <w:p w:rsidR="00B2471D" w:rsidRPr="00967FC1" w:rsidRDefault="00B2471D" w:rsidP="00B2471D">
      <w:pPr>
        <w:spacing w:after="0" w:line="240" w:lineRule="auto"/>
        <w:jc w:val="center"/>
        <w:rPr>
          <w:rFonts w:ascii="Times New Roman" w:hAnsi="Times New Roman" w:cs="Times New Roman"/>
          <w:iCs/>
          <w:sz w:val="24"/>
          <w:szCs w:val="24"/>
        </w:rPr>
      </w:pPr>
      <w:r>
        <w:rPr>
          <w:rFonts w:ascii="Times New Roman" w:hAnsi="Times New Roman" w:cs="Times New Roman"/>
          <w:iCs/>
          <w:sz w:val="24"/>
          <w:szCs w:val="24"/>
        </w:rPr>
        <w:t xml:space="preserve">Gambar 4.2 Hasil mikroskopis positif dengan KOH 10% + Tinta Parker </w:t>
      </w:r>
      <w:r w:rsidRPr="00E672AC">
        <w:rPr>
          <w:rFonts w:ascii="Times New Roman" w:hAnsi="Times New Roman" w:cs="Times New Roman"/>
          <w:i/>
          <w:iCs/>
          <w:sz w:val="24"/>
          <w:szCs w:val="24"/>
        </w:rPr>
        <w:t>blue black</w:t>
      </w:r>
      <w:r>
        <w:rPr>
          <w:rFonts w:ascii="Times New Roman" w:hAnsi="Times New Roman" w:cs="Times New Roman"/>
          <w:iCs/>
          <w:sz w:val="24"/>
          <w:szCs w:val="24"/>
        </w:rPr>
        <w:t xml:space="preserve"> (pembesaran 400x) (A) dan struktur mikroskopis</w:t>
      </w:r>
      <w:r>
        <w:rPr>
          <w:rFonts w:ascii="Times New Roman" w:hAnsi="Times New Roman" w:cs="Times New Roman"/>
          <w:i/>
          <w:sz w:val="24"/>
          <w:szCs w:val="24"/>
        </w:rPr>
        <w:t xml:space="preserve"> Malassezia furfur </w:t>
      </w:r>
      <w:r>
        <w:rPr>
          <w:rFonts w:ascii="Times New Roman" w:hAnsi="Times New Roman" w:cs="Times New Roman"/>
          <w:iCs/>
          <w:sz w:val="24"/>
          <w:szCs w:val="24"/>
        </w:rPr>
        <w:t>(B)</w:t>
      </w:r>
    </w:p>
    <w:p w:rsidR="00B2471D" w:rsidRPr="00002967" w:rsidRDefault="00B2471D" w:rsidP="00B2471D">
      <w:pPr>
        <w:spacing w:after="0" w:line="240" w:lineRule="auto"/>
        <w:jc w:val="center"/>
        <w:rPr>
          <w:rFonts w:ascii="Times New Roman" w:hAnsi="Times New Roman" w:cs="Times New Roman"/>
          <w:iCs/>
          <w:sz w:val="24"/>
          <w:szCs w:val="24"/>
        </w:rPr>
      </w:pPr>
    </w:p>
    <w:p w:rsidR="00B2471D" w:rsidRPr="00082C97" w:rsidRDefault="00B2471D" w:rsidP="00B2471D">
      <w:pPr>
        <w:spacing w:after="0" w:line="240" w:lineRule="auto"/>
        <w:jc w:val="center"/>
        <w:rPr>
          <w:rFonts w:ascii="Times New Roman" w:hAnsi="Times New Roman" w:cs="Times New Roman"/>
          <w:iCs/>
          <w:sz w:val="24"/>
          <w:szCs w:val="24"/>
        </w:rPr>
      </w:pPr>
    </w:p>
    <w:p w:rsidR="00B2471D" w:rsidRDefault="00B2471D" w:rsidP="00B2471D">
      <w:pPr>
        <w:spacing w:after="0" w:line="480" w:lineRule="auto"/>
        <w:ind w:left="0"/>
        <w:jc w:val="both"/>
        <w:rPr>
          <w:rFonts w:ascii="Times New Roman" w:hAnsi="Times New Roman" w:cs="Times New Roman"/>
          <w:b/>
          <w:iCs/>
          <w:sz w:val="24"/>
          <w:szCs w:val="24"/>
        </w:rPr>
      </w:pPr>
      <w:r>
        <w:rPr>
          <w:rFonts w:ascii="Times New Roman" w:hAnsi="Times New Roman" w:cs="Times New Roman"/>
          <w:b/>
          <w:iCs/>
          <w:sz w:val="24"/>
          <w:szCs w:val="24"/>
        </w:rPr>
        <w:t xml:space="preserve">4.2.3 Uji Perbedaan Pemeriksaan KOH 10% + Tinta Parker Blue dan KOH 10% + Methylene Blue </w:t>
      </w:r>
    </w:p>
    <w:p w:rsidR="00B2471D" w:rsidRPr="00E16863" w:rsidRDefault="00B2471D" w:rsidP="00B2471D">
      <w:pPr>
        <w:spacing w:after="0" w:line="480" w:lineRule="auto"/>
        <w:ind w:left="0"/>
        <w:jc w:val="both"/>
        <w:rPr>
          <w:rFonts w:ascii="Times New Roman" w:hAnsi="Times New Roman" w:cs="Times New Roman"/>
          <w:iCs/>
          <w:sz w:val="24"/>
          <w:szCs w:val="24"/>
        </w:rPr>
      </w:pPr>
      <w:r>
        <w:rPr>
          <w:rFonts w:ascii="Times New Roman" w:hAnsi="Times New Roman" w:cs="Times New Roman"/>
          <w:b/>
          <w:iCs/>
          <w:sz w:val="24"/>
          <w:szCs w:val="24"/>
        </w:rPr>
        <w:tab/>
      </w:r>
      <w:r>
        <w:rPr>
          <w:rFonts w:ascii="Times New Roman" w:hAnsi="Times New Roman" w:cs="Times New Roman"/>
          <w:bCs/>
          <w:iCs/>
          <w:sz w:val="24"/>
          <w:szCs w:val="24"/>
        </w:rPr>
        <w:t xml:space="preserve">Uji beda dilakukan dengan uji statistik menggunakan </w:t>
      </w:r>
      <w:r>
        <w:rPr>
          <w:rFonts w:ascii="Times New Roman" w:hAnsi="Times New Roman" w:cs="Times New Roman"/>
          <w:bCs/>
          <w:i/>
          <w:sz w:val="24"/>
          <w:szCs w:val="24"/>
        </w:rPr>
        <w:t xml:space="preserve">Chi Square </w:t>
      </w:r>
      <w:r w:rsidRPr="00967FC1">
        <w:rPr>
          <w:rFonts w:ascii="Times New Roman" w:hAnsi="Times New Roman" w:cs="Times New Roman"/>
          <w:bCs/>
          <w:i/>
          <w:sz w:val="24"/>
          <w:szCs w:val="24"/>
        </w:rPr>
        <w:t>Test</w:t>
      </w:r>
      <w:r>
        <w:rPr>
          <w:rFonts w:ascii="Times New Roman" w:hAnsi="Times New Roman" w:cs="Times New Roman"/>
          <w:bCs/>
          <w:iCs/>
          <w:sz w:val="24"/>
          <w:szCs w:val="24"/>
        </w:rPr>
        <w:t xml:space="preserve">. </w:t>
      </w:r>
      <w:r w:rsidRPr="00967FC1">
        <w:rPr>
          <w:rFonts w:ascii="Times New Roman" w:hAnsi="Times New Roman" w:cs="Times New Roman"/>
          <w:iCs/>
          <w:sz w:val="24"/>
          <w:szCs w:val="24"/>
        </w:rPr>
        <w:t>Berdasarkan</w:t>
      </w:r>
      <w:r>
        <w:rPr>
          <w:rFonts w:ascii="Times New Roman" w:hAnsi="Times New Roman" w:cs="Times New Roman"/>
          <w:iCs/>
          <w:sz w:val="24"/>
          <w:szCs w:val="24"/>
        </w:rPr>
        <w:t xml:space="preserve"> tabel Uji Perbedaan Pemeriksaan KOH 10% + Tinta Parker Blue Black di atas, saat menggunakan KOH </w:t>
      </w:r>
      <w:r>
        <w:rPr>
          <w:rFonts w:ascii="Times New Roman" w:hAnsi="Times New Roman" w:cs="Times New Roman"/>
          <w:iCs/>
          <w:sz w:val="24"/>
          <w:szCs w:val="24"/>
        </w:rPr>
        <w:lastRenderedPageBreak/>
        <w:t xml:space="preserve">10% + Tinta Parker </w:t>
      </w:r>
      <w:r w:rsidRPr="00167C86">
        <w:rPr>
          <w:rFonts w:ascii="Times New Roman" w:hAnsi="Times New Roman" w:cs="Times New Roman"/>
          <w:i/>
          <w:iCs/>
          <w:sz w:val="24"/>
          <w:szCs w:val="24"/>
        </w:rPr>
        <w:t>blue black</w:t>
      </w:r>
      <w:r>
        <w:rPr>
          <w:rFonts w:ascii="Times New Roman" w:hAnsi="Times New Roman" w:cs="Times New Roman"/>
          <w:iCs/>
          <w:sz w:val="24"/>
          <w:szCs w:val="24"/>
        </w:rPr>
        <w:t xml:space="preserve"> didapatkan nilai signifikasi adalah 0.001 (p &lt; 0,05) (Tabel 4.4). Berdasarkan nilai tersebut maka penarikan kesimpulan yang dilakukan adalah menerima Ha dan menolak H0, sehingga dapat disimpulkan terdapat perbedaan signifikan pemeriksaan mikroskopik langsung </w:t>
      </w:r>
      <w:r>
        <w:rPr>
          <w:rFonts w:ascii="Times New Roman" w:hAnsi="Times New Roman" w:cs="Times New Roman"/>
          <w:i/>
          <w:iCs/>
          <w:sz w:val="24"/>
          <w:szCs w:val="24"/>
        </w:rPr>
        <w:t>T</w:t>
      </w:r>
      <w:r w:rsidRPr="00160D88">
        <w:rPr>
          <w:rFonts w:ascii="Times New Roman" w:hAnsi="Times New Roman" w:cs="Times New Roman"/>
          <w:i/>
          <w:iCs/>
          <w:sz w:val="24"/>
          <w:szCs w:val="24"/>
        </w:rPr>
        <w:t>inea versicolor</w:t>
      </w:r>
      <w:r>
        <w:rPr>
          <w:rFonts w:ascii="Times New Roman" w:hAnsi="Times New Roman" w:cs="Times New Roman"/>
          <w:iCs/>
          <w:sz w:val="24"/>
          <w:szCs w:val="24"/>
        </w:rPr>
        <w:t xml:space="preserve"> menggunakan KOH 10% + Tinta Parker </w:t>
      </w:r>
      <w:r w:rsidRPr="00167C86">
        <w:rPr>
          <w:rFonts w:ascii="Times New Roman" w:hAnsi="Times New Roman" w:cs="Times New Roman"/>
          <w:i/>
          <w:iCs/>
          <w:sz w:val="24"/>
          <w:szCs w:val="24"/>
        </w:rPr>
        <w:t>blue black</w:t>
      </w:r>
      <w:r>
        <w:rPr>
          <w:rFonts w:ascii="Times New Roman" w:hAnsi="Times New Roman" w:cs="Times New Roman"/>
          <w:iCs/>
          <w:sz w:val="24"/>
          <w:szCs w:val="24"/>
        </w:rPr>
        <w:t xml:space="preserve"> dan KOH 10% + Methylene </w:t>
      </w:r>
      <w:r w:rsidRPr="00167C86">
        <w:rPr>
          <w:rFonts w:ascii="Times New Roman" w:hAnsi="Times New Roman" w:cs="Times New Roman"/>
          <w:i/>
          <w:iCs/>
          <w:sz w:val="24"/>
          <w:szCs w:val="24"/>
        </w:rPr>
        <w:t>blue .</w:t>
      </w:r>
      <w:r>
        <w:rPr>
          <w:rFonts w:ascii="Times New Roman" w:hAnsi="Times New Roman" w:cs="Times New Roman"/>
          <w:iCs/>
          <w:sz w:val="24"/>
          <w:szCs w:val="24"/>
        </w:rPr>
        <w:t xml:space="preserve"> </w:t>
      </w:r>
    </w:p>
    <w:p w:rsidR="00B2471D" w:rsidRDefault="00B2471D" w:rsidP="00B2471D">
      <w:pPr>
        <w:spacing w:after="0" w:line="240" w:lineRule="auto"/>
        <w:ind w:left="0"/>
        <w:jc w:val="center"/>
        <w:rPr>
          <w:rFonts w:ascii="Times New Roman" w:hAnsi="Times New Roman" w:cs="Times New Roman"/>
          <w:b/>
          <w:iCs/>
          <w:sz w:val="24"/>
          <w:szCs w:val="24"/>
        </w:rPr>
      </w:pPr>
      <w:r>
        <w:rPr>
          <w:rFonts w:ascii="Times New Roman" w:hAnsi="Times New Roman" w:cs="Times New Roman"/>
          <w:b/>
          <w:iCs/>
          <w:sz w:val="24"/>
          <w:szCs w:val="24"/>
        </w:rPr>
        <w:t xml:space="preserve">Tabel 4.4 Uji Perbedaan Pemeriksaan KOH 10% + Tinta Parker </w:t>
      </w:r>
      <w:r w:rsidRPr="00167C86">
        <w:rPr>
          <w:rFonts w:ascii="Times New Roman" w:hAnsi="Times New Roman" w:cs="Times New Roman"/>
          <w:b/>
          <w:i/>
          <w:iCs/>
          <w:sz w:val="24"/>
          <w:szCs w:val="24"/>
        </w:rPr>
        <w:t>blue black</w:t>
      </w:r>
      <w:r>
        <w:rPr>
          <w:rFonts w:ascii="Times New Roman" w:hAnsi="Times New Roman" w:cs="Times New Roman"/>
          <w:b/>
          <w:iCs/>
          <w:sz w:val="24"/>
          <w:szCs w:val="24"/>
        </w:rPr>
        <w:t xml:space="preserve">  dan KOH 10% + Methylene </w:t>
      </w:r>
      <w:r w:rsidRPr="00167C86">
        <w:rPr>
          <w:rFonts w:ascii="Times New Roman" w:hAnsi="Times New Roman" w:cs="Times New Roman"/>
          <w:b/>
          <w:i/>
          <w:iCs/>
          <w:sz w:val="24"/>
          <w:szCs w:val="24"/>
        </w:rPr>
        <w:t>blue</w:t>
      </w:r>
    </w:p>
    <w:p w:rsidR="00B2471D" w:rsidRDefault="00B2471D" w:rsidP="00B2471D">
      <w:pPr>
        <w:spacing w:after="0" w:line="240" w:lineRule="auto"/>
        <w:ind w:left="0"/>
        <w:jc w:val="center"/>
        <w:rPr>
          <w:rFonts w:ascii="Times New Roman" w:hAnsi="Times New Roman" w:cs="Times New Roman"/>
          <w:b/>
          <w:iCs/>
          <w:sz w:val="24"/>
          <w:szCs w:val="24"/>
        </w:rPr>
      </w:pPr>
    </w:p>
    <w:tbl>
      <w:tblPr>
        <w:tblStyle w:val="PlainTable2"/>
        <w:tblW w:w="8279" w:type="dxa"/>
        <w:tblLook w:val="04A0" w:firstRow="1" w:lastRow="0" w:firstColumn="1" w:lastColumn="0" w:noHBand="0" w:noVBand="1"/>
      </w:tblPr>
      <w:tblGrid>
        <w:gridCol w:w="2759"/>
        <w:gridCol w:w="2759"/>
        <w:gridCol w:w="2761"/>
      </w:tblGrid>
      <w:tr w:rsidR="00B2471D" w:rsidTr="00476396">
        <w:trPr>
          <w:cnfStyle w:val="100000000000" w:firstRow="1" w:lastRow="0" w:firstColumn="0" w:lastColumn="0" w:oddVBand="0" w:evenVBand="0" w:oddHBand="0" w:evenHBand="0" w:firstRowFirstColumn="0" w:firstRowLastColumn="0" w:lastRowFirstColumn="0" w:lastRowLastColumn="0"/>
          <w:trHeight w:val="77"/>
        </w:trPr>
        <w:tc>
          <w:tcPr>
            <w:cnfStyle w:val="001000000000" w:firstRow="0" w:lastRow="0" w:firstColumn="1" w:lastColumn="0" w:oddVBand="0" w:evenVBand="0" w:oddHBand="0" w:evenHBand="0" w:firstRowFirstColumn="0" w:firstRowLastColumn="0" w:lastRowFirstColumn="0" w:lastRowLastColumn="0"/>
            <w:tcW w:w="2759" w:type="dxa"/>
          </w:tcPr>
          <w:p w:rsidR="00B2471D" w:rsidRPr="00904F1E" w:rsidRDefault="00B2471D" w:rsidP="00476396">
            <w:pPr>
              <w:ind w:left="0"/>
              <w:jc w:val="center"/>
              <w:rPr>
                <w:rFonts w:ascii="Times New Roman" w:hAnsi="Times New Roman" w:cs="Times New Roman"/>
                <w:iCs/>
                <w:sz w:val="24"/>
                <w:szCs w:val="24"/>
              </w:rPr>
            </w:pPr>
            <w:r w:rsidRPr="00904F1E">
              <w:rPr>
                <w:rFonts w:ascii="Times New Roman" w:hAnsi="Times New Roman" w:cs="Times New Roman"/>
                <w:iCs/>
                <w:sz w:val="24"/>
                <w:szCs w:val="24"/>
              </w:rPr>
              <w:t>Variabel</w:t>
            </w:r>
          </w:p>
        </w:tc>
        <w:tc>
          <w:tcPr>
            <w:tcW w:w="2759" w:type="dxa"/>
          </w:tcPr>
          <w:p w:rsidR="00B2471D" w:rsidRPr="00904F1E" w:rsidRDefault="00B2471D" w:rsidP="00476396">
            <w:pPr>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iCs/>
                <w:sz w:val="24"/>
                <w:szCs w:val="24"/>
              </w:rPr>
            </w:pPr>
            <w:r w:rsidRPr="00904F1E">
              <w:rPr>
                <w:rFonts w:ascii="Times New Roman" w:hAnsi="Times New Roman" w:cs="Times New Roman"/>
                <w:iCs/>
                <w:sz w:val="24"/>
                <w:szCs w:val="24"/>
              </w:rPr>
              <w:t>N</w:t>
            </w:r>
          </w:p>
        </w:tc>
        <w:tc>
          <w:tcPr>
            <w:tcW w:w="2761" w:type="dxa"/>
          </w:tcPr>
          <w:p w:rsidR="00B2471D" w:rsidRPr="00904F1E" w:rsidRDefault="00B2471D" w:rsidP="00476396">
            <w:pPr>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i/>
                <w:iCs/>
                <w:sz w:val="24"/>
                <w:szCs w:val="24"/>
              </w:rPr>
            </w:pPr>
            <w:r w:rsidRPr="00904F1E">
              <w:rPr>
                <w:rFonts w:ascii="Times New Roman" w:hAnsi="Times New Roman" w:cs="Times New Roman"/>
                <w:i/>
                <w:iCs/>
                <w:sz w:val="24"/>
                <w:szCs w:val="24"/>
              </w:rPr>
              <w:t>Sig.</w:t>
            </w:r>
          </w:p>
        </w:tc>
      </w:tr>
      <w:tr w:rsidR="00B2471D" w:rsidTr="00476396">
        <w:trPr>
          <w:cnfStyle w:val="000000100000" w:firstRow="0" w:lastRow="0" w:firstColumn="0" w:lastColumn="0" w:oddVBand="0" w:evenVBand="0" w:oddHBand="1" w:evenHBand="0" w:firstRowFirstColumn="0" w:firstRowLastColumn="0" w:lastRowFirstColumn="0" w:lastRowLastColumn="0"/>
          <w:trHeight w:val="476"/>
        </w:trPr>
        <w:tc>
          <w:tcPr>
            <w:cnfStyle w:val="001000000000" w:firstRow="0" w:lastRow="0" w:firstColumn="1" w:lastColumn="0" w:oddVBand="0" w:evenVBand="0" w:oddHBand="0" w:evenHBand="0" w:firstRowFirstColumn="0" w:firstRowLastColumn="0" w:lastRowFirstColumn="0" w:lastRowLastColumn="0"/>
            <w:tcW w:w="2759" w:type="dxa"/>
          </w:tcPr>
          <w:p w:rsidR="00B2471D" w:rsidRPr="00904F1E" w:rsidRDefault="00B2471D" w:rsidP="00476396">
            <w:pPr>
              <w:ind w:left="0"/>
              <w:jc w:val="center"/>
              <w:rPr>
                <w:rFonts w:ascii="Times New Roman" w:hAnsi="Times New Roman" w:cs="Times New Roman"/>
                <w:b w:val="0"/>
                <w:iCs/>
                <w:sz w:val="24"/>
                <w:szCs w:val="24"/>
              </w:rPr>
            </w:pPr>
            <w:r w:rsidRPr="00904F1E">
              <w:rPr>
                <w:rFonts w:ascii="Times New Roman" w:hAnsi="Times New Roman" w:cs="Times New Roman"/>
                <w:b w:val="0"/>
                <w:iCs/>
                <w:sz w:val="24"/>
                <w:szCs w:val="24"/>
              </w:rPr>
              <w:t xml:space="preserve">KOH 10% + Tinta Parker </w:t>
            </w:r>
            <w:r w:rsidRPr="00167C86">
              <w:rPr>
                <w:rFonts w:ascii="Times New Roman" w:hAnsi="Times New Roman" w:cs="Times New Roman"/>
                <w:b w:val="0"/>
                <w:i/>
                <w:iCs/>
                <w:sz w:val="24"/>
                <w:szCs w:val="24"/>
              </w:rPr>
              <w:t>blue black</w:t>
            </w:r>
            <w:r w:rsidRPr="00904F1E">
              <w:rPr>
                <w:rFonts w:ascii="Times New Roman" w:hAnsi="Times New Roman" w:cs="Times New Roman"/>
                <w:b w:val="0"/>
                <w:iCs/>
                <w:sz w:val="24"/>
                <w:szCs w:val="24"/>
              </w:rPr>
              <w:t xml:space="preserve">-KOH 10% + Methylene </w:t>
            </w:r>
            <w:r w:rsidRPr="00167C86">
              <w:rPr>
                <w:rFonts w:ascii="Times New Roman" w:hAnsi="Times New Roman" w:cs="Times New Roman"/>
                <w:b w:val="0"/>
                <w:i/>
                <w:iCs/>
                <w:sz w:val="24"/>
                <w:szCs w:val="24"/>
              </w:rPr>
              <w:t>blue</w:t>
            </w:r>
          </w:p>
        </w:tc>
        <w:tc>
          <w:tcPr>
            <w:tcW w:w="2759" w:type="dxa"/>
          </w:tcPr>
          <w:p w:rsidR="00B2471D" w:rsidRPr="00904F1E" w:rsidRDefault="00B2471D" w:rsidP="00476396">
            <w:pPr>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Cs/>
                <w:sz w:val="24"/>
                <w:szCs w:val="24"/>
              </w:rPr>
            </w:pPr>
            <w:r>
              <w:rPr>
                <w:rFonts w:ascii="Times New Roman" w:hAnsi="Times New Roman" w:cs="Times New Roman"/>
                <w:iCs/>
                <w:sz w:val="24"/>
                <w:szCs w:val="24"/>
              </w:rPr>
              <w:t>46</w:t>
            </w:r>
          </w:p>
        </w:tc>
        <w:tc>
          <w:tcPr>
            <w:tcW w:w="2761" w:type="dxa"/>
          </w:tcPr>
          <w:p w:rsidR="00B2471D" w:rsidRPr="00904F1E" w:rsidRDefault="00B2471D" w:rsidP="00476396">
            <w:pPr>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Cs/>
                <w:sz w:val="24"/>
                <w:szCs w:val="24"/>
              </w:rPr>
            </w:pPr>
            <w:r w:rsidRPr="00904F1E">
              <w:rPr>
                <w:rFonts w:ascii="Times New Roman" w:hAnsi="Times New Roman" w:cs="Times New Roman"/>
                <w:iCs/>
                <w:sz w:val="24"/>
                <w:szCs w:val="24"/>
              </w:rPr>
              <w:t>0.001</w:t>
            </w:r>
          </w:p>
        </w:tc>
      </w:tr>
    </w:tbl>
    <w:p w:rsidR="00B2471D" w:rsidRDefault="00B2471D" w:rsidP="00B2471D">
      <w:pPr>
        <w:spacing w:after="0" w:line="480" w:lineRule="auto"/>
        <w:ind w:left="0"/>
        <w:jc w:val="both"/>
        <w:rPr>
          <w:rFonts w:ascii="Times New Roman" w:hAnsi="Times New Roman" w:cs="Times New Roman"/>
          <w:b/>
          <w:iCs/>
          <w:sz w:val="24"/>
          <w:szCs w:val="24"/>
        </w:rPr>
      </w:pPr>
    </w:p>
    <w:p w:rsidR="00B2471D" w:rsidRDefault="00B2471D" w:rsidP="00B2471D">
      <w:pPr>
        <w:spacing w:after="0" w:line="480" w:lineRule="auto"/>
        <w:ind w:left="0"/>
        <w:jc w:val="both"/>
        <w:rPr>
          <w:rFonts w:ascii="Times New Roman" w:hAnsi="Times New Roman" w:cs="Times New Roman"/>
          <w:b/>
          <w:iCs/>
          <w:sz w:val="24"/>
          <w:szCs w:val="24"/>
        </w:rPr>
      </w:pPr>
      <w:r>
        <w:rPr>
          <w:rFonts w:ascii="Times New Roman" w:hAnsi="Times New Roman" w:cs="Times New Roman"/>
          <w:b/>
          <w:iCs/>
          <w:sz w:val="24"/>
          <w:szCs w:val="24"/>
        </w:rPr>
        <w:t xml:space="preserve">4.3 Pembahasan </w:t>
      </w:r>
    </w:p>
    <w:p w:rsidR="00B2471D" w:rsidRDefault="00B2471D" w:rsidP="00B2471D">
      <w:pPr>
        <w:spacing w:after="0" w:line="480" w:lineRule="auto"/>
        <w:ind w:left="0"/>
        <w:jc w:val="both"/>
        <w:rPr>
          <w:rStyle w:val="fadeinm1hgl8"/>
          <w:rFonts w:ascii="Times New Roman" w:hAnsi="Times New Roman" w:cs="Times New Roman"/>
          <w:sz w:val="24"/>
          <w:szCs w:val="24"/>
        </w:rPr>
      </w:pPr>
      <w:r>
        <w:rPr>
          <w:rStyle w:val="fadeinm1hgl8"/>
          <w:rFonts w:ascii="Times New Roman" w:hAnsi="Times New Roman" w:cs="Times New Roman"/>
          <w:sz w:val="24"/>
          <w:szCs w:val="24"/>
        </w:rPr>
        <w:tab/>
      </w:r>
      <w:r w:rsidRPr="00473131">
        <w:rPr>
          <w:rStyle w:val="fadeinm1hgl8"/>
          <w:rFonts w:ascii="Times New Roman" w:hAnsi="Times New Roman" w:cs="Times New Roman"/>
          <w:sz w:val="24"/>
          <w:szCs w:val="24"/>
        </w:rPr>
        <w:t xml:space="preserve">Penelitian ini bertujuan untuk membandingkan efektivitas dua metode pewarnaan dalam pemeriksaan mikroskopik langsung terhadap </w:t>
      </w:r>
      <w:r w:rsidRPr="00473131">
        <w:rPr>
          <w:rStyle w:val="fadeinm1hgl8"/>
          <w:rFonts w:ascii="Times New Roman" w:hAnsi="Times New Roman" w:cs="Times New Roman"/>
          <w:i/>
          <w:iCs/>
          <w:sz w:val="24"/>
          <w:szCs w:val="24"/>
        </w:rPr>
        <w:t>Tinea versicolor</w:t>
      </w:r>
      <w:r w:rsidRPr="00473131">
        <w:rPr>
          <w:rStyle w:val="fadeinm1hgl8"/>
          <w:rFonts w:ascii="Times New Roman" w:hAnsi="Times New Roman" w:cs="Times New Roman"/>
          <w:sz w:val="24"/>
          <w:szCs w:val="24"/>
        </w:rPr>
        <w:t xml:space="preserve">, yaitu menggunakan KOH 10% + Methylene </w:t>
      </w:r>
      <w:r w:rsidRPr="000C4EC8">
        <w:rPr>
          <w:rStyle w:val="fadeinm1hgl8"/>
          <w:rFonts w:ascii="Times New Roman" w:hAnsi="Times New Roman" w:cs="Times New Roman"/>
          <w:i/>
          <w:sz w:val="24"/>
          <w:szCs w:val="24"/>
        </w:rPr>
        <w:t>blue</w:t>
      </w:r>
      <w:r w:rsidRPr="00473131">
        <w:rPr>
          <w:rStyle w:val="fadeinm1hgl8"/>
          <w:rFonts w:ascii="Times New Roman" w:hAnsi="Times New Roman" w:cs="Times New Roman"/>
          <w:sz w:val="24"/>
          <w:szCs w:val="24"/>
        </w:rPr>
        <w:t xml:space="preserve"> dan KOH 10% + tinta Parker </w:t>
      </w:r>
      <w:r w:rsidRPr="00E672AC">
        <w:rPr>
          <w:rStyle w:val="fadeinm1hgl8"/>
          <w:rFonts w:ascii="Times New Roman" w:hAnsi="Times New Roman" w:cs="Times New Roman"/>
          <w:i/>
          <w:sz w:val="24"/>
          <w:szCs w:val="24"/>
        </w:rPr>
        <w:t>blue black</w:t>
      </w:r>
      <w:r w:rsidRPr="00473131">
        <w:rPr>
          <w:rStyle w:val="fadeinm1hgl8"/>
          <w:rFonts w:ascii="Times New Roman" w:hAnsi="Times New Roman" w:cs="Times New Roman"/>
          <w:sz w:val="24"/>
          <w:szCs w:val="24"/>
        </w:rPr>
        <w:t>. Dari 23 sampel yang dianalisis, ditemukan perbedaan hasil yang cukup signifikan antara kedua metode tersebut. Pemeriksaan menggunakan</w:t>
      </w:r>
      <w:r>
        <w:rPr>
          <w:rStyle w:val="fadeinm1hgl8"/>
          <w:rFonts w:ascii="Times New Roman" w:hAnsi="Times New Roman" w:cs="Times New Roman"/>
          <w:sz w:val="24"/>
          <w:szCs w:val="24"/>
        </w:rPr>
        <w:t xml:space="preserve"> </w:t>
      </w:r>
      <w:r w:rsidRPr="00473131">
        <w:rPr>
          <w:rStyle w:val="fadeinm1hgl8"/>
          <w:rFonts w:ascii="Times New Roman" w:hAnsi="Times New Roman" w:cs="Times New Roman"/>
          <w:sz w:val="24"/>
          <w:szCs w:val="24"/>
        </w:rPr>
        <w:t>KOH 10% + Methy</w:t>
      </w:r>
      <w:r>
        <w:rPr>
          <w:rStyle w:val="fadeinm1hgl8"/>
          <w:rFonts w:ascii="Times New Roman" w:hAnsi="Times New Roman" w:cs="Times New Roman"/>
          <w:sz w:val="24"/>
          <w:szCs w:val="24"/>
        </w:rPr>
        <w:t>lene Blue hanya menunjukkan dua sampel positif (8,7</w:t>
      </w:r>
      <w:r w:rsidRPr="00473131">
        <w:rPr>
          <w:rStyle w:val="fadeinm1hgl8"/>
          <w:rFonts w:ascii="Times New Roman" w:hAnsi="Times New Roman" w:cs="Times New Roman"/>
          <w:sz w:val="24"/>
          <w:szCs w:val="24"/>
        </w:rPr>
        <w:t>%)</w:t>
      </w:r>
      <w:r>
        <w:rPr>
          <w:rStyle w:val="fadeinm1hgl8"/>
          <w:rFonts w:ascii="Times New Roman" w:hAnsi="Times New Roman" w:cs="Times New Roman"/>
          <w:sz w:val="24"/>
          <w:szCs w:val="24"/>
        </w:rPr>
        <w:t xml:space="preserve"> </w:t>
      </w:r>
      <w:r w:rsidRPr="00473131">
        <w:rPr>
          <w:rStyle w:val="fadeinm1hgl8"/>
          <w:rFonts w:ascii="Times New Roman" w:hAnsi="Times New Roman" w:cs="Times New Roman"/>
          <w:sz w:val="24"/>
          <w:szCs w:val="24"/>
        </w:rPr>
        <w:t xml:space="preserve">sedangkan metode KOH 10% + tinta Parker </w:t>
      </w:r>
      <w:r w:rsidRPr="00E672AC">
        <w:rPr>
          <w:rStyle w:val="fadeinm1hgl8"/>
          <w:rFonts w:ascii="Times New Roman" w:hAnsi="Times New Roman" w:cs="Times New Roman"/>
          <w:i/>
          <w:sz w:val="24"/>
          <w:szCs w:val="24"/>
        </w:rPr>
        <w:t>blue black</w:t>
      </w:r>
      <w:r w:rsidRPr="00473131">
        <w:rPr>
          <w:rStyle w:val="fadeinm1hgl8"/>
          <w:rFonts w:ascii="Times New Roman" w:hAnsi="Times New Roman" w:cs="Times New Roman"/>
          <w:sz w:val="24"/>
          <w:szCs w:val="24"/>
        </w:rPr>
        <w:t xml:space="preserve"> menghas</w:t>
      </w:r>
      <w:r>
        <w:rPr>
          <w:rStyle w:val="fadeinm1hgl8"/>
          <w:rFonts w:ascii="Times New Roman" w:hAnsi="Times New Roman" w:cs="Times New Roman"/>
          <w:sz w:val="24"/>
          <w:szCs w:val="24"/>
        </w:rPr>
        <w:t>ilkan 13 sampel positif (56,5%)</w:t>
      </w:r>
      <w:r w:rsidRPr="00473131">
        <w:rPr>
          <w:rStyle w:val="fadeinm1hgl8"/>
          <w:rFonts w:ascii="Times New Roman" w:hAnsi="Times New Roman" w:cs="Times New Roman"/>
          <w:sz w:val="24"/>
          <w:szCs w:val="24"/>
        </w:rPr>
        <w:t>. Perbedaan ini menunjukkan bahwa jenis pewarna yang digunakan dalam pemeriksaan sangat memengaruhi hasil diagnosis.</w:t>
      </w:r>
    </w:p>
    <w:p w:rsidR="00B2471D" w:rsidRDefault="00B2471D" w:rsidP="00B2471D">
      <w:pPr>
        <w:spacing w:after="0" w:line="480" w:lineRule="auto"/>
        <w:ind w:left="0"/>
        <w:jc w:val="both"/>
        <w:rPr>
          <w:rStyle w:val="fadeinm1hgl8"/>
        </w:rPr>
      </w:pPr>
      <w:r>
        <w:rPr>
          <w:rStyle w:val="fadeinm1hgl8"/>
          <w:rFonts w:ascii="Times New Roman" w:hAnsi="Times New Roman" w:cs="Times New Roman"/>
          <w:sz w:val="24"/>
          <w:szCs w:val="24"/>
        </w:rPr>
        <w:tab/>
      </w:r>
      <w:r w:rsidRPr="00440E58">
        <w:rPr>
          <w:rStyle w:val="fadeinm1hgl8"/>
          <w:rFonts w:ascii="Times New Roman" w:hAnsi="Times New Roman" w:cs="Times New Roman"/>
          <w:sz w:val="24"/>
          <w:szCs w:val="24"/>
        </w:rPr>
        <w:t xml:space="preserve">Elemen jamur kerap kali tidak menyerap KOH secara optimal, sehingga dibutuhkan keterampilan khusus untuk mengenali elemen jamur yang tampak transparan di antara sel-sel epitel. Pewarnaan dengan KOH tidak menghasilkan kontras warna yang memadai, karena elemen jamur tidak terwarnai dengan baik dan tampak bening. Selain itu, penggunaan KOH sering kali </w:t>
      </w:r>
      <w:r w:rsidRPr="00440E58">
        <w:rPr>
          <w:rStyle w:val="fadeinm1hgl8"/>
          <w:rFonts w:ascii="Times New Roman" w:hAnsi="Times New Roman" w:cs="Times New Roman"/>
          <w:sz w:val="24"/>
          <w:szCs w:val="24"/>
        </w:rPr>
        <w:lastRenderedPageBreak/>
        <w:t>menghasilkan banyak endapan yang dapat mengganggu interpretasi, meskipun KOH mampu melarutkan sebagian besar debris seluler</w:t>
      </w:r>
      <w:r>
        <w:rPr>
          <w:rStyle w:val="fadeinm1hgl8"/>
        </w:rPr>
        <w:t xml:space="preserve"> </w:t>
      </w:r>
      <w:r w:rsidRPr="00440E58">
        <w:rPr>
          <w:rStyle w:val="fadeinm1hgl8"/>
          <w:rFonts w:ascii="Times New Roman" w:hAnsi="Times New Roman" w:cs="Times New Roman"/>
          <w:sz w:val="24"/>
          <w:szCs w:val="24"/>
        </w:rPr>
        <w:fldChar w:fldCharType="begin" w:fldLock="1"/>
      </w:r>
      <w:r>
        <w:rPr>
          <w:rStyle w:val="fadeinm1hgl8"/>
          <w:rFonts w:ascii="Times New Roman" w:hAnsi="Times New Roman" w:cs="Times New Roman"/>
          <w:sz w:val="24"/>
          <w:szCs w:val="24"/>
        </w:rPr>
        <w:instrText>ADDIN CSL_CITATION {"citationItems":[{"id":"ITEM-1","itemData":{"DOI":"10.4081/dr.2019.8040","ISSN":"20367406","abstract":"Parker ink blue black potassium hydroxide (KOH) is a regular stain for the diagnosis of dermatophytoses. KOH giving less color contrast to the fungal element. The Chicago Sky Blue (CSB) solution is a new contrast have various sensitivity and specificity values. This is analytical observational, cross sectional design study conducted at Dermatomycology Division of Outpatient Clinic, Dr. Soetomo General Hospital. 40 samples from lesion and perilesional infected area, diagnosed dermatophytoses with culture positive was include in this study. All two tests were performed examined by KOH and CSB. The slides were examined after incubation in × 10 and × 40 magnifications by experienced observer. The sensitivity, specificity and McNemar test of CSB and KOH was calculated using culture as the standard test. The sensitivities, specificities, PPV, NPV of the Chicago sky blue and KOH respectively are 95% and 100%, 95,24% and 100%, 100% and 100%, with McNemar test p = 1 and Kappa score is 0,950. The Chicago Sky Blue stain provides a good color contrast and IT could be a alternative staining for the dermatophytoses.","author":[{"dropping-particle":"","family":"Sukmawati","given":"Netty","non-dropping-particle":"","parse-names":false,"suffix":""},{"dropping-particle":"","family":"Rahmadewi","given":"","non-dropping-particle":"","parse-names":false,"suffix":""},{"dropping-particle":"","family":"Ervianti","given":"Evy","non-dropping-particle":"","parse-names":false,"suffix":""}],"container-title":"Dermatology Reports","id":"ITEM-1","issued":{"date-parts":[["2019"]]},"page":"56-58","title":"A comparative study of Chicago Sky Blue and Parker™ ink blue black potassium hidroxide in the diagnosis of dermatophytes","type":"article-journal","volume":"11"},"uris":["http://www.mendeley.com/documents/?uuid=9ed5dc77-0fa2-4c27-83fc-c951e972b68c"]}],"mendeley":{"formattedCitation":"(Sukmawati et al., 2019)","plainTextFormattedCitation":"(Sukmawati et al., 2019)","previouslyFormattedCitation":"(Sukmawati, Rahmadewi, and Ervianti 2019)"},"properties":{"noteIndex":0},"schema":"https://github.com/citation-style-language/schema/raw/master/csl-citation.json"}</w:instrText>
      </w:r>
      <w:r w:rsidRPr="00440E58">
        <w:rPr>
          <w:rStyle w:val="fadeinm1hgl8"/>
          <w:rFonts w:ascii="Times New Roman" w:hAnsi="Times New Roman" w:cs="Times New Roman"/>
          <w:sz w:val="24"/>
          <w:szCs w:val="24"/>
        </w:rPr>
        <w:fldChar w:fldCharType="separate"/>
      </w:r>
      <w:r w:rsidRPr="000C4EC8">
        <w:rPr>
          <w:rStyle w:val="fadeinm1hgl8"/>
          <w:rFonts w:ascii="Times New Roman" w:hAnsi="Times New Roman" w:cs="Times New Roman"/>
          <w:noProof/>
          <w:sz w:val="24"/>
          <w:szCs w:val="24"/>
        </w:rPr>
        <w:t>(Sukmawati et al., 2019)</w:t>
      </w:r>
      <w:r w:rsidRPr="00440E58">
        <w:rPr>
          <w:rStyle w:val="fadeinm1hgl8"/>
          <w:rFonts w:ascii="Times New Roman" w:hAnsi="Times New Roman" w:cs="Times New Roman"/>
          <w:sz w:val="24"/>
          <w:szCs w:val="24"/>
        </w:rPr>
        <w:fldChar w:fldCharType="end"/>
      </w:r>
      <w:r>
        <w:rPr>
          <w:rStyle w:val="fadeinm1hgl8"/>
          <w:rFonts w:ascii="Times New Roman" w:hAnsi="Times New Roman" w:cs="Times New Roman"/>
          <w:sz w:val="24"/>
          <w:szCs w:val="24"/>
        </w:rPr>
        <w:t>.</w:t>
      </w:r>
    </w:p>
    <w:p w:rsidR="00B2471D" w:rsidRDefault="00B2471D" w:rsidP="00B2471D">
      <w:pPr>
        <w:spacing w:after="0" w:line="480" w:lineRule="auto"/>
        <w:ind w:left="0"/>
        <w:jc w:val="both"/>
        <w:rPr>
          <w:rStyle w:val="fadeinm1hgl8"/>
          <w:rFonts w:ascii="Times New Roman" w:hAnsi="Times New Roman" w:cs="Times New Roman"/>
          <w:sz w:val="24"/>
          <w:szCs w:val="24"/>
        </w:rPr>
      </w:pPr>
      <w:r>
        <w:rPr>
          <w:rStyle w:val="fadeinm1hgl8"/>
          <w:rFonts w:ascii="Times New Roman" w:hAnsi="Times New Roman" w:cs="Times New Roman"/>
          <w:sz w:val="24"/>
          <w:szCs w:val="24"/>
        </w:rPr>
        <w:tab/>
      </w:r>
      <w:r w:rsidRPr="000C197D">
        <w:rPr>
          <w:rStyle w:val="fadeinm1hgl8"/>
          <w:rFonts w:ascii="Times New Roman" w:hAnsi="Times New Roman" w:cs="Times New Roman"/>
          <w:sz w:val="24"/>
          <w:szCs w:val="24"/>
        </w:rPr>
        <w:t xml:space="preserve">Tinta Parker </w:t>
      </w:r>
      <w:r w:rsidRPr="00B42226">
        <w:rPr>
          <w:rStyle w:val="fadeinm1hgl8"/>
          <w:rFonts w:ascii="Times New Roman" w:hAnsi="Times New Roman" w:cs="Times New Roman"/>
          <w:i/>
          <w:sz w:val="24"/>
          <w:szCs w:val="24"/>
        </w:rPr>
        <w:t>blue black</w:t>
      </w:r>
      <w:r w:rsidRPr="000C197D">
        <w:rPr>
          <w:rStyle w:val="fadeinm1hgl8"/>
          <w:rFonts w:ascii="Times New Roman" w:hAnsi="Times New Roman" w:cs="Times New Roman"/>
          <w:sz w:val="24"/>
          <w:szCs w:val="24"/>
        </w:rPr>
        <w:t xml:space="preserve"> terbukti lebih efektif dalam meningkatkan kontras visual antara struktur jamur dan latar belakang preparat. Elemen jamur khas seperti spora bulat berdinding tebal dan hifa pendek terputus-putus tampak lebih jelas pada pemeriksaan menggunakan tinta ini. Hasil ini mendukung penelitian oleh </w:t>
      </w:r>
      <w:r w:rsidRPr="000C197D">
        <w:rPr>
          <w:rStyle w:val="fadeinm1hgl8"/>
          <w:rFonts w:ascii="Times New Roman" w:hAnsi="Times New Roman" w:cs="Times New Roman"/>
          <w:sz w:val="24"/>
          <w:szCs w:val="24"/>
        </w:rPr>
        <w:fldChar w:fldCharType="begin" w:fldLock="1"/>
      </w:r>
      <w:r>
        <w:rPr>
          <w:rStyle w:val="fadeinm1hgl8"/>
          <w:rFonts w:ascii="Times New Roman" w:hAnsi="Times New Roman" w:cs="Times New Roman"/>
          <w:sz w:val="24"/>
          <w:szCs w:val="24"/>
        </w:rPr>
        <w:instrText>ADDIN CSL_CITATION {"citationItems":[{"id":"ITEM-1","itemData":{"DOI":"10.30742/jikw.v9i2.943","ISSN":"1978-2071","abstract":"Superficial dermatomycosis is a fungal infection of the skin, nail and hair. Based on the pathogen, this infection can be divided into dermatophytosis, phytiriasis versicolor and candidiasis. The rapid diagnosis for this infection is the key point to deliver the right theraphy. The supporting investigation for this infection can be performed directly using KOH. The KOH 20% solution has an indistict color contrast, that cause the fungal element seemed transparent. The observant expertise would be required for this case. The alternative method to enhance sensitivity and specificity of KOH is to add dyes such as Blue Black parker ink. The objectives of this research was to observe the sensitivity and specificity of KOH 20% + blue black parker ink in comparisson with KOH 20% method in superficial dermatomycosis. The research method was cross sectional design analitical obsevation with 30 research subjects. The samples were taken from superficial dermatomycosis lesion swabs. These samples were tested using KOH 20% solution and KOH 20% + blue black parker ink solution in Siti Khodijah Muhammadiyah Hospital, Sepanjang and dr. Makmuri Clinics, Surabaya. The results demonstrated that the sensitivity of KOH 20% solution and KOH 20% + blue black parker ink solution were 86.67% and 93.33%, respectively. The specificity of KOH 20% solution and KOH 20% + blue black parker ink solution were 100% and 100%, respectively. It can be concluded from the research that KOH 20% + blue black parker ink solution can be used for the routine diagnosis for superficial dermatomycosis due to the high sensitivity and specificity.","author":[{"dropping-particle":"","family":"Ramadhani","given":"firda ulfa","non-dropping-particle":"","parse-names":false,"suffix":""},{"dropping-particle":"","family":"Ratnasari","given":"diana tri","non-dropping-particle":"","parse-names":false,"suffix":""},{"dropping-particle":"","family":"Masfufatun","given":"","non-dropping-particle":"","parse-names":false,"suffix":""}],"container-title":"Jurnal Ilmiah Kedokteran Wijaya Kusuma","id":"ITEM-1","issue":"2","issued":{"date-parts":[["2020"]]},"page":"218-228","title":"Sensitivitas dan Spesifisitas Metode KOH 20% + Tinta Parker Blue Black Dibandingkan dengan KOH 20% pada Dermatomikosis Superfisialis","type":"article-journal","volume":"9"},"uris":["http://www.mendeley.com/documents/?uuid=0c2de337-6571-4db0-98e7-2cc42f921540"]}],"mendeley":{"formattedCitation":"(Ramadhani et al., 2020)","manualFormatting":"Ramadhani, Ratnasari and Masfufatun (2020)","plainTextFormattedCitation":"(Ramadhani et al., 2020)","previouslyFormattedCitation":"(Ramadhani, Ratnasari, and Masfufatun 2020)"},"properties":{"noteIndex":0},"schema":"https://github.com/citation-style-language/schema/raw/master/csl-citation.json"}</w:instrText>
      </w:r>
      <w:r w:rsidRPr="000C197D">
        <w:rPr>
          <w:rStyle w:val="fadeinm1hgl8"/>
          <w:rFonts w:ascii="Times New Roman" w:hAnsi="Times New Roman" w:cs="Times New Roman"/>
          <w:sz w:val="24"/>
          <w:szCs w:val="24"/>
        </w:rPr>
        <w:fldChar w:fldCharType="separate"/>
      </w:r>
      <w:r w:rsidRPr="000C197D">
        <w:rPr>
          <w:rStyle w:val="fadeinm1hgl8"/>
          <w:rFonts w:ascii="Times New Roman" w:hAnsi="Times New Roman" w:cs="Times New Roman"/>
          <w:noProof/>
          <w:sz w:val="24"/>
          <w:szCs w:val="24"/>
        </w:rPr>
        <w:t>Ramadhani, Ratnasari and Masfufatun (2020)</w:t>
      </w:r>
      <w:r w:rsidRPr="000C197D">
        <w:rPr>
          <w:rStyle w:val="fadeinm1hgl8"/>
          <w:rFonts w:ascii="Times New Roman" w:hAnsi="Times New Roman" w:cs="Times New Roman"/>
          <w:sz w:val="24"/>
          <w:szCs w:val="24"/>
        </w:rPr>
        <w:fldChar w:fldCharType="end"/>
      </w:r>
      <w:r w:rsidRPr="000C197D">
        <w:rPr>
          <w:rStyle w:val="fadeinm1hgl8"/>
          <w:rFonts w:ascii="Times New Roman" w:hAnsi="Times New Roman" w:cs="Times New Roman"/>
          <w:sz w:val="24"/>
          <w:szCs w:val="24"/>
        </w:rPr>
        <w:t>, yang menyatakan bahwa tinta parker blue black memberikan kontras warna biru yang membantu identifikasi elemen jamur secara lebih akurat.</w:t>
      </w:r>
      <w:r>
        <w:rPr>
          <w:rStyle w:val="fadeinm1hgl8"/>
          <w:rFonts w:ascii="Times New Roman" w:hAnsi="Times New Roman" w:cs="Times New Roman"/>
          <w:sz w:val="24"/>
          <w:szCs w:val="24"/>
        </w:rPr>
        <w:t xml:space="preserve"> </w:t>
      </w:r>
    </w:p>
    <w:p w:rsidR="00B2471D" w:rsidRDefault="00B2471D" w:rsidP="00B2471D">
      <w:pPr>
        <w:spacing w:after="0" w:line="480" w:lineRule="auto"/>
        <w:ind w:left="0"/>
        <w:jc w:val="both"/>
        <w:rPr>
          <w:rStyle w:val="fadeinm1hgl8"/>
          <w:rFonts w:ascii="Times New Roman" w:hAnsi="Times New Roman" w:cs="Times New Roman"/>
          <w:sz w:val="24"/>
          <w:szCs w:val="24"/>
        </w:rPr>
      </w:pPr>
      <w:r>
        <w:rPr>
          <w:rStyle w:val="fadeinm1hgl8"/>
          <w:rFonts w:ascii="Times New Roman" w:hAnsi="Times New Roman" w:cs="Times New Roman"/>
          <w:sz w:val="24"/>
          <w:szCs w:val="24"/>
        </w:rPr>
        <w:tab/>
      </w:r>
      <w:r w:rsidRPr="000C197D">
        <w:rPr>
          <w:rStyle w:val="fadeinm1hgl8"/>
          <w:rFonts w:ascii="Times New Roman" w:hAnsi="Times New Roman" w:cs="Times New Roman"/>
          <w:sz w:val="24"/>
          <w:szCs w:val="24"/>
        </w:rPr>
        <w:t xml:space="preserve">Sebaliknya, Methylene </w:t>
      </w:r>
      <w:r w:rsidRPr="00B42226">
        <w:rPr>
          <w:rStyle w:val="fadeinm1hgl8"/>
          <w:rFonts w:ascii="Times New Roman" w:hAnsi="Times New Roman" w:cs="Times New Roman"/>
          <w:i/>
          <w:sz w:val="24"/>
          <w:szCs w:val="24"/>
        </w:rPr>
        <w:t>blue</w:t>
      </w:r>
      <w:r w:rsidRPr="000C197D">
        <w:rPr>
          <w:rStyle w:val="fadeinm1hgl8"/>
          <w:rFonts w:ascii="Times New Roman" w:hAnsi="Times New Roman" w:cs="Times New Roman"/>
          <w:sz w:val="24"/>
          <w:szCs w:val="24"/>
        </w:rPr>
        <w:t xml:space="preserve"> meskipun dikenal luas sebagai pewarna diagnostik, menunjukkan keterbatasan dalam konteks ini. Penelitian oleh </w:t>
      </w:r>
      <w:r w:rsidRPr="000C197D">
        <w:rPr>
          <w:rStyle w:val="fadeinm1hgl8"/>
          <w:rFonts w:ascii="Times New Roman" w:hAnsi="Times New Roman" w:cs="Times New Roman"/>
          <w:sz w:val="24"/>
          <w:szCs w:val="24"/>
        </w:rPr>
        <w:fldChar w:fldCharType="begin" w:fldLock="1"/>
      </w:r>
      <w:r>
        <w:rPr>
          <w:rStyle w:val="fadeinm1hgl8"/>
          <w:rFonts w:ascii="Times New Roman" w:hAnsi="Times New Roman" w:cs="Times New Roman"/>
          <w:sz w:val="24"/>
          <w:szCs w:val="24"/>
        </w:rPr>
        <w:instrText>ADDIN CSL_CITATION {"citationItems":[{"id":"ITEM-1","itemData":{"DOI":"10.1016/j.ejbas.2015.08.001","ISSN":"2314-808X","abstract":"A B S T R A C T Earlier and accurate diagnosis of the fungal infection in the cornea is necessary for effec-tive treatment. In developing countries, microscopical evaluation is the most valuable and rapid diagnostic tool. Therefore we aimed to investigate the efficacy of methylene blue (MB) staining in comparison with potassium hydroxide (KOH) and calcofluor white (CW) stain. Corneal scraping from 48 cases with suspected fungal keratitis were included in the study from January 2014 to December 2014. The specimens were subjected to direct examination by MB, 10% KOH and CW stain. The staining results were confirmed with fungal culture and strain identification. Topical amphotericin B was started for all positive fungal cases; 39 (81.25%) were proven fungal cases. Positive rate of calcofluor white, MB and 10% KOH staining were 79.2%, 75% and 68.75% respectively. CW showed higher sensitivity and specificity (99.44% and 90.91% respectively), followed by MB (92.31% and 80.0% respectively) and lastly KOH 10% (84.62% and 71.43% respectively). 71.8% of cases had healed scars and only 4 patients (10.3%) required keratoplasty (PK). Direct microscopic detection of fungal structures by MB staining in corneal scrapes is a fast and effective method for the early diagnosis of fungal keratitis.","author":[{"dropping-particle":"","family":"Moemen","given":"Dalia","non-dropping-particle":"","parse-names":false,"suffix":""},{"dropping-particle":"","family":"Bedir","given":"Tamer","non-dropping-particle":"","parse-names":false,"suffix":""},{"dropping-particle":"","family":"Awad","given":"eman A.","non-dropping-particle":"","parse-names":false,"suffix":""},{"dropping-particle":"","family":"Ellayeh","given":"Adel","non-dropping-particle":"","parse-names":false,"suffix":""}],"container-title":"Journal of Basic and Applied Sciences","id":"ITEM-1","issue":"4","issued":{"date-parts":[["2015"]]},"page":"289-294","publisher":"Mansoura University","title":"Fungal keratitis: Rapid diagnosis using methylene blue stain","type":"article-journal","volume":"2"},"uris":["http://www.mendeley.com/documents/?uuid=6b5a0e36-8052-4188-9652-98cc70e35be5"]}],"mendeley":{"formattedCitation":"(Moemen et al., 2015)","manualFormatting":"Moemen et al. (2015)","plainTextFormattedCitation":"(Moemen et al., 2015)","previouslyFormattedCitation":"(Moemen et al. 2015)"},"properties":{"noteIndex":0},"schema":"https://github.com/citation-style-language/schema/raw/master/csl-citation.json"}</w:instrText>
      </w:r>
      <w:r w:rsidRPr="000C197D">
        <w:rPr>
          <w:rStyle w:val="fadeinm1hgl8"/>
          <w:rFonts w:ascii="Times New Roman" w:hAnsi="Times New Roman" w:cs="Times New Roman"/>
          <w:sz w:val="24"/>
          <w:szCs w:val="24"/>
        </w:rPr>
        <w:fldChar w:fldCharType="separate"/>
      </w:r>
      <w:r w:rsidRPr="000C197D">
        <w:rPr>
          <w:rStyle w:val="fadeinm1hgl8"/>
          <w:rFonts w:ascii="Times New Roman" w:hAnsi="Times New Roman" w:cs="Times New Roman"/>
          <w:noProof/>
          <w:sz w:val="24"/>
          <w:szCs w:val="24"/>
        </w:rPr>
        <w:t xml:space="preserve">Moemen </w:t>
      </w:r>
      <w:r w:rsidRPr="000C197D">
        <w:rPr>
          <w:rStyle w:val="fadeinm1hgl8"/>
          <w:rFonts w:ascii="Times New Roman" w:hAnsi="Times New Roman" w:cs="Times New Roman"/>
          <w:i/>
          <w:noProof/>
          <w:sz w:val="24"/>
          <w:szCs w:val="24"/>
        </w:rPr>
        <w:t>et al.</w:t>
      </w:r>
      <w:r w:rsidRPr="000C197D">
        <w:rPr>
          <w:rStyle w:val="fadeinm1hgl8"/>
          <w:rFonts w:ascii="Times New Roman" w:hAnsi="Times New Roman" w:cs="Times New Roman"/>
          <w:noProof/>
          <w:sz w:val="24"/>
          <w:szCs w:val="24"/>
        </w:rPr>
        <w:t xml:space="preserve"> (2015)</w:t>
      </w:r>
      <w:r w:rsidRPr="000C197D">
        <w:rPr>
          <w:rStyle w:val="fadeinm1hgl8"/>
          <w:rFonts w:ascii="Times New Roman" w:hAnsi="Times New Roman" w:cs="Times New Roman"/>
          <w:sz w:val="24"/>
          <w:szCs w:val="24"/>
        </w:rPr>
        <w:fldChar w:fldCharType="end"/>
      </w:r>
      <w:r w:rsidRPr="000C197D">
        <w:rPr>
          <w:rStyle w:val="fadeinm1hgl8"/>
          <w:rFonts w:ascii="Times New Roman" w:hAnsi="Times New Roman" w:cs="Times New Roman"/>
          <w:sz w:val="24"/>
          <w:szCs w:val="24"/>
        </w:rPr>
        <w:t xml:space="preserve"> memang menunjukkan bahwa Methylene </w:t>
      </w:r>
      <w:r w:rsidRPr="00B42226">
        <w:rPr>
          <w:rStyle w:val="fadeinm1hgl8"/>
          <w:rFonts w:ascii="Times New Roman" w:hAnsi="Times New Roman" w:cs="Times New Roman"/>
          <w:i/>
          <w:sz w:val="24"/>
          <w:szCs w:val="24"/>
        </w:rPr>
        <w:t>blue</w:t>
      </w:r>
      <w:r w:rsidRPr="000C197D">
        <w:rPr>
          <w:rStyle w:val="fadeinm1hgl8"/>
          <w:rFonts w:ascii="Times New Roman" w:hAnsi="Times New Roman" w:cs="Times New Roman"/>
          <w:sz w:val="24"/>
          <w:szCs w:val="24"/>
        </w:rPr>
        <w:t xml:space="preserve"> dapat digunakan</w:t>
      </w:r>
      <w:r>
        <w:rPr>
          <w:rStyle w:val="fadeinm1hgl8"/>
          <w:rFonts w:ascii="Times New Roman" w:hAnsi="Times New Roman" w:cs="Times New Roman"/>
          <w:sz w:val="24"/>
          <w:szCs w:val="24"/>
        </w:rPr>
        <w:t xml:space="preserve"> dalam diagnosis infeksi jamur </w:t>
      </w:r>
      <w:r>
        <w:rPr>
          <w:rStyle w:val="Heading1Char"/>
          <w:b w:val="0"/>
        </w:rPr>
        <w:t xml:space="preserve">yang </w:t>
      </w:r>
      <w:r w:rsidRPr="00C255AE">
        <w:rPr>
          <w:rStyle w:val="fadeinm1hgl8"/>
          <w:rFonts w:ascii="Times New Roman" w:hAnsi="Times New Roman" w:cs="Times New Roman"/>
          <w:sz w:val="24"/>
          <w:szCs w:val="24"/>
        </w:rPr>
        <w:t xml:space="preserve">berfungsi sebagai pewarna yang memberikan warna pada elemen jamur, sehingga mempertegas perbedaan antara jamur dan latar belakang jaringan kulit, </w:t>
      </w:r>
      <w:r w:rsidRPr="000C197D">
        <w:rPr>
          <w:rStyle w:val="fadeinm1hgl8"/>
          <w:rFonts w:ascii="Times New Roman" w:hAnsi="Times New Roman" w:cs="Times New Roman"/>
          <w:sz w:val="24"/>
          <w:szCs w:val="24"/>
        </w:rPr>
        <w:t>yang dapat mengaburkan struktur jamur pada sediaan mikroskopis. Hal ini dapat menyebabkan hasil negatif palsu atau pengamatan yang tidak optimal.</w:t>
      </w:r>
    </w:p>
    <w:p w:rsidR="00B2471D" w:rsidRPr="008A57EA" w:rsidRDefault="00B2471D" w:rsidP="00B2471D">
      <w:pPr>
        <w:spacing w:after="0" w:line="480" w:lineRule="auto"/>
        <w:ind w:left="0"/>
        <w:jc w:val="both"/>
        <w:rPr>
          <w:rStyle w:val="fadeinm1hgl8"/>
          <w:rFonts w:ascii="Times New Roman" w:hAnsi="Times New Roman" w:cs="Times New Roman"/>
          <w:sz w:val="24"/>
          <w:szCs w:val="24"/>
        </w:rPr>
      </w:pPr>
      <w:r>
        <w:rPr>
          <w:rStyle w:val="fadeinm1hgl8"/>
          <w:rFonts w:ascii="Times New Roman" w:hAnsi="Times New Roman" w:cs="Times New Roman"/>
          <w:sz w:val="24"/>
          <w:szCs w:val="24"/>
        </w:rPr>
        <w:tab/>
        <w:t xml:space="preserve">Methylene </w:t>
      </w:r>
      <w:r w:rsidRPr="00B42226">
        <w:rPr>
          <w:rStyle w:val="fadeinm1hgl8"/>
          <w:rFonts w:ascii="Times New Roman" w:hAnsi="Times New Roman" w:cs="Times New Roman"/>
          <w:i/>
          <w:sz w:val="24"/>
          <w:szCs w:val="24"/>
        </w:rPr>
        <w:t>blue</w:t>
      </w:r>
      <w:r w:rsidRPr="008A57EA">
        <w:rPr>
          <w:rStyle w:val="fadeinm1hgl8"/>
          <w:rFonts w:ascii="Times New Roman" w:hAnsi="Times New Roman" w:cs="Times New Roman"/>
          <w:sz w:val="24"/>
          <w:szCs w:val="24"/>
        </w:rPr>
        <w:t xml:space="preserve"> adalah pewarna yang umum digunakan dalam teknik pewarnaan mikrobiologi, baik untuk pewarnaan sederhana maupun sebagai pewarna tandingan pada prosedur pewarnaan tahan asam. Pewarna ini bekerja dengan cara berinteraksi dengan komponen sel bakteri yang bermuatan negatif, seperti DNA, RNA, dan inti sel, karena sifatnya yang bermuatan positif. Hal ini menghasilkan kontras yang jelas pada preparat, sehingga mempermudah pengamatan di bawah mikroskop. Selain itu, metilen biru juga dikenal mudah digunakan dan member</w:t>
      </w:r>
      <w:r>
        <w:rPr>
          <w:rStyle w:val="fadeinm1hgl8"/>
          <w:rFonts w:ascii="Times New Roman" w:hAnsi="Times New Roman" w:cs="Times New Roman"/>
          <w:sz w:val="24"/>
          <w:szCs w:val="24"/>
        </w:rPr>
        <w:t xml:space="preserve">ikan hasil pewarnaan yang tajam </w:t>
      </w:r>
      <w:r>
        <w:rPr>
          <w:rStyle w:val="fadeinm1hgl8"/>
          <w:rFonts w:ascii="Times New Roman" w:hAnsi="Times New Roman" w:cs="Times New Roman"/>
          <w:sz w:val="24"/>
          <w:szCs w:val="24"/>
        </w:rPr>
        <w:fldChar w:fldCharType="begin" w:fldLock="1"/>
      </w:r>
      <w:r>
        <w:rPr>
          <w:rStyle w:val="fadeinm1hgl8"/>
          <w:rFonts w:ascii="Times New Roman" w:hAnsi="Times New Roman" w:cs="Times New Roman"/>
          <w:sz w:val="24"/>
          <w:szCs w:val="24"/>
        </w:rPr>
        <w:instrText>ADDIN CSL_CITATION {"citationItems":[{"id":"ITEM-1","itemData":{"abstract":"Pendahuluan: Pewarna alami dapat menjadi solusi terhadap efek negatif yang ditimbulkan pewarna sintetik. Daun teh hijau (Camellia sinensis) sebagai pewarna alami telah sering digunakan pada pewarnaan industri tekstil. Penelitian ini bertujuan untuk menilai kualitas pewarnaan alami daun teh hijau dibandingkan dengan pewarna sintetik Methylene Blue pada pewarnaan sederhana bakteri Staphylococcus aureus dan Escherichia coli, kemudian dilakukan validasi metode akurasi dan presisi. Metode: Penelitian ini bersifat eksperimental in vitro. Pewarnaan sederhana dilakukan dengan menggunakan Methylene Blue sebagai kontrol positif (+) dan daun teh hijau (Camellia sinensis) konsentrasi 2,5%, 5%, dan 7,5%. Jumlah bakteri dihitung dalam 5 lapang pandang menggunakan software ImageJ dan dilakukan perhitungan akurasi dan presisi. Dilakukan pula pengamatan deskriptif oleh tiga pengamat yang berbeda, dan dilakukan uji statistik metode Mann-Whitney. Hasil: Pada bakteri Staphylococcus aureus dan Escherichia coli, di semua konsentrasi nilai yang diperoleh tidak memenuhi standar %Recovery (80-110%). Sama halnya dengan nilai presisi kedua bakteri tidak ada yang memenuhi standar Relative Standard Deviation (11%). Pada pengamatan deskriptif nilai tertinggi kedua bakteri diperoleh pada konsentrasi 7,5%. Kesimpulan: Pewarnaan sederhana bakteri Staphylococcus aureus dan Escherichia coli dengan ekstrak metanol daun teh hijau (Camellia sinensis) memiliki tingkat akurasi dan presisi yang lebih rendah daripada Methylene Blue namun memiliki nilai pengamatan deskriptif yang baik pada konsentrasi 7,5%.","author":[{"dropping-particle":"","family":"Ashri","given":"Ibrahim","non-dropping-particle":"","parse-names":false,"suffix":""},{"dropping-particle":"","family":"Bintari","given":"Yoni Rina","non-dropping-particle":"","parse-names":false,"suffix":""},{"dropping-particle":"","family":"Risandiansyah","given":"Rio","non-dropping-particle":"","parse-names":false,"suffix":""}],"container-title":"Jurnal Kedokteran","id":"ITEM-1","issue":"341","issued":{"date-parts":[["2022"]]},"page":"1-9","title":"Validasi Metode Pewarnaan Sederhana Bakteri Staphylococcus aureus Dan Escherichia coli Dengan Ekstrak Metanol Daun Teh Hijau( Camellia sinensis )","type":"article-journal","volume":"62"},"uris":["http://www.mendeley.com/documents/?uuid=aecdd819-cbd9-42fd-a5e2-3f5ec4fa86cc"]}],"mendeley":{"formattedCitation":"(Ashri et al., 2022)","plainTextFormattedCitation":"(Ashri et al., 2022)","previouslyFormattedCitation":"(Ashri, Bintari, and Risandiansyah 2022)"},"properties":{"noteIndex":0},"schema":"https://github.com/citation-style-language/schema/raw/master/csl-citation.json"}</w:instrText>
      </w:r>
      <w:r>
        <w:rPr>
          <w:rStyle w:val="fadeinm1hgl8"/>
          <w:rFonts w:ascii="Times New Roman" w:hAnsi="Times New Roman" w:cs="Times New Roman"/>
          <w:sz w:val="24"/>
          <w:szCs w:val="24"/>
        </w:rPr>
        <w:fldChar w:fldCharType="separate"/>
      </w:r>
      <w:r w:rsidRPr="000C4EC8">
        <w:rPr>
          <w:rStyle w:val="fadeinm1hgl8"/>
          <w:rFonts w:ascii="Times New Roman" w:hAnsi="Times New Roman" w:cs="Times New Roman"/>
          <w:noProof/>
          <w:sz w:val="24"/>
          <w:szCs w:val="24"/>
        </w:rPr>
        <w:t>(Ashri et al., 2022)</w:t>
      </w:r>
      <w:r>
        <w:rPr>
          <w:rStyle w:val="fadeinm1hgl8"/>
          <w:rFonts w:ascii="Times New Roman" w:hAnsi="Times New Roman" w:cs="Times New Roman"/>
          <w:sz w:val="24"/>
          <w:szCs w:val="24"/>
        </w:rPr>
        <w:fldChar w:fldCharType="end"/>
      </w:r>
      <w:r>
        <w:rPr>
          <w:rStyle w:val="fadeinm1hgl8"/>
          <w:rFonts w:ascii="Times New Roman" w:hAnsi="Times New Roman" w:cs="Times New Roman"/>
          <w:sz w:val="24"/>
          <w:szCs w:val="24"/>
        </w:rPr>
        <w:t>.</w:t>
      </w:r>
    </w:p>
    <w:p w:rsidR="00B2471D" w:rsidRPr="00E06679" w:rsidRDefault="00B2471D" w:rsidP="00B2471D">
      <w:pPr>
        <w:spacing w:after="0" w:line="480" w:lineRule="auto"/>
        <w:ind w:left="0"/>
        <w:jc w:val="both"/>
        <w:rPr>
          <w:rFonts w:ascii="Times New Roman" w:hAnsi="Times New Roman" w:cs="Times New Roman"/>
          <w:sz w:val="24"/>
          <w:szCs w:val="24"/>
        </w:rPr>
      </w:pPr>
      <w:r>
        <w:rPr>
          <w:rStyle w:val="fadeinm1hgl8"/>
          <w:rFonts w:ascii="Times New Roman" w:hAnsi="Times New Roman" w:cs="Times New Roman"/>
          <w:sz w:val="24"/>
          <w:szCs w:val="24"/>
        </w:rPr>
        <w:lastRenderedPageBreak/>
        <w:tab/>
      </w:r>
      <w:r w:rsidRPr="008A57EA">
        <w:rPr>
          <w:rStyle w:val="fadeinm1hgl8"/>
          <w:rFonts w:ascii="Times New Roman" w:hAnsi="Times New Roman" w:cs="Times New Roman"/>
          <w:sz w:val="24"/>
          <w:szCs w:val="24"/>
        </w:rPr>
        <w:t>Larutan kalium hidroksida (KOH) 10% secara luas digunakan dalam pemeriksaan mikroskopis untuk mendeteksi infeksi jamur pada kulit, seperti tinea versicolor dan piedra hitam. KOH berfungsi melarutkan keratin pada sampel kulit, rambut, atau kuku, sehingga sel-sel inang menjadi transparan dan tidak mengganggu visualisasi struktur jamur. Hal ini memungkinkan elemen jamur seperti hifa dan spora terlihat lebih jelas di bawah mikroskop. Pada tinea versicolor, tampak hifa pendek dan spora Malassezia yang khas, sering digambarkan menyerupai “spaghetti and meatballs.” Penggunaan KOH 10% efektif dalam memperjelas elemen jamur dengan menghilangkan latar belakang keratin. Konsentrasi ini umumnya cukup untuk pemeriksaan kulit dan rambut, sementara untuk kuku yang memiliki keratin lebih tebal, digunakan konsentrasi yang lebih ting</w:t>
      </w:r>
      <w:r>
        <w:rPr>
          <w:rStyle w:val="fadeinm1hgl8"/>
          <w:rFonts w:ascii="Times New Roman" w:hAnsi="Times New Roman" w:cs="Times New Roman"/>
          <w:sz w:val="24"/>
          <w:szCs w:val="24"/>
        </w:rPr>
        <w:t xml:space="preserve">gi, yaitu antara 15% hingga 20% </w:t>
      </w:r>
      <w:r>
        <w:rPr>
          <w:rStyle w:val="fadeinm1hgl8"/>
          <w:rFonts w:ascii="Times New Roman" w:hAnsi="Times New Roman" w:cs="Times New Roman"/>
          <w:sz w:val="24"/>
          <w:szCs w:val="24"/>
        </w:rPr>
        <w:fldChar w:fldCharType="begin" w:fldLock="1"/>
      </w:r>
      <w:r>
        <w:rPr>
          <w:rStyle w:val="fadeinm1hgl8"/>
          <w:rFonts w:ascii="Times New Roman" w:hAnsi="Times New Roman" w:cs="Times New Roman"/>
          <w:sz w:val="24"/>
          <w:szCs w:val="24"/>
        </w:rPr>
        <w:instrText>ADDIN CSL_CITATION {"citationItems":[{"id":"ITEM-1","itemData":{"abstract":"Pendahuluan: Pewarna alami dapat menjadi solusi terhadap efek negatif yang ditimbulkan pewarna sintetik. Daun teh hijau (Camellia sinensis) sebagai pewarna alami telah sering digunakan pada pewarnaan industri tekstil. Penelitian ini bertujuan untuk menilai kualitas pewarnaan alami daun teh hijau dibandingkan dengan pewarna sintetik Methylene Blue pada pewarnaan sederhana bakteri Staphylococcus aureus dan Escherichia coli, kemudian dilakukan validasi metode akurasi dan presisi. Metode: Penelitian ini bersifat eksperimental in vitro. Pewarnaan sederhana dilakukan dengan menggunakan Methylene Blue sebagai kontrol positif (+) dan daun teh hijau (Camellia sinensis) konsentrasi 2,5%, 5%, dan 7,5%. Jumlah bakteri dihitung dalam 5 lapang pandang menggunakan software ImageJ dan dilakukan perhitungan akurasi dan presisi. Dilakukan pula pengamatan deskriptif oleh tiga pengamat yang berbeda, dan dilakukan uji statistik metode Mann-Whitney. Hasil: Pada bakteri Staphylococcus aureus dan Escherichia coli, di semua konsentrasi nilai yang diperoleh tidak memenuhi standar %Recovery (80-110%). Sama halnya dengan nilai presisi kedua bakteri tidak ada yang memenuhi standar Relative Standard Deviation (11%). Pada pengamatan deskriptif nilai tertinggi kedua bakteri diperoleh pada konsentrasi 7,5%. Kesimpulan: Pewarnaan sederhana bakteri Staphylococcus aureus dan Escherichia coli dengan ekstrak metanol daun teh hijau (Camellia sinensis) memiliki tingkat akurasi dan presisi yang lebih rendah daripada Methylene Blue namun memiliki nilai pengamatan deskriptif yang baik pada konsentrasi 7,5%.","author":[{"dropping-particle":"","family":"Ashri","given":"Ibrahim","non-dropping-particle":"","parse-names":false,"suffix":""},{"dropping-particle":"","family":"Bintari","given":"Yoni Rina","non-dropping-particle":"","parse-names":false,"suffix":""},{"dropping-particle":"","family":"Risandiansyah","given":"Rio","non-dropping-particle":"","parse-names":false,"suffix":""}],"container-title":"Jurnal Kedokteran","id":"ITEM-1","issue":"341","issued":{"date-parts":[["2022"]]},"page":"1-9","title":"Validasi Metode Pewarnaan Sederhana Bakteri Staphylococcus aureus Dan Escherichia coli Dengan Ekstrak Metanol Daun Teh Hijau( Camellia sinensis )","type":"article-journal","volume":"62"},"uris":["http://www.mendeley.com/documents/?uuid=aecdd819-cbd9-42fd-a5e2-3f5ec4fa86cc"]}],"mendeley":{"formattedCitation":"(Ashri et al., 2022)","plainTextFormattedCitation":"(Ashri et al., 2022)","previouslyFormattedCitation":"(Ashri, Bintari, and Risandiansyah 2022)"},"properties":{"noteIndex":0},"schema":"https://github.com/citation-style-language/schema/raw/master/csl-citation.json"}</w:instrText>
      </w:r>
      <w:r>
        <w:rPr>
          <w:rStyle w:val="fadeinm1hgl8"/>
          <w:rFonts w:ascii="Times New Roman" w:hAnsi="Times New Roman" w:cs="Times New Roman"/>
          <w:sz w:val="24"/>
          <w:szCs w:val="24"/>
        </w:rPr>
        <w:fldChar w:fldCharType="separate"/>
      </w:r>
      <w:r w:rsidRPr="000C4EC8">
        <w:rPr>
          <w:rStyle w:val="fadeinm1hgl8"/>
          <w:rFonts w:ascii="Times New Roman" w:hAnsi="Times New Roman" w:cs="Times New Roman"/>
          <w:noProof/>
          <w:sz w:val="24"/>
          <w:szCs w:val="24"/>
        </w:rPr>
        <w:t>(Ashri et al., 2022)</w:t>
      </w:r>
      <w:r>
        <w:rPr>
          <w:rStyle w:val="fadeinm1hgl8"/>
          <w:rFonts w:ascii="Times New Roman" w:hAnsi="Times New Roman" w:cs="Times New Roman"/>
          <w:sz w:val="24"/>
          <w:szCs w:val="24"/>
        </w:rPr>
        <w:fldChar w:fldCharType="end"/>
      </w:r>
      <w:r>
        <w:rPr>
          <w:rStyle w:val="fadeinm1hgl8"/>
          <w:rFonts w:ascii="Times New Roman" w:hAnsi="Times New Roman" w:cs="Times New Roman"/>
          <w:sz w:val="24"/>
          <w:szCs w:val="24"/>
        </w:rPr>
        <w:t>.</w:t>
      </w:r>
    </w:p>
    <w:p w:rsidR="00B2471D" w:rsidRPr="000C197D" w:rsidRDefault="00B2471D" w:rsidP="00B2471D">
      <w:pPr>
        <w:spacing w:after="0" w:line="480" w:lineRule="auto"/>
        <w:ind w:left="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0C197D">
        <w:rPr>
          <w:rFonts w:ascii="Times New Roman" w:eastAsia="Times New Roman" w:hAnsi="Times New Roman" w:cs="Times New Roman"/>
          <w:sz w:val="24"/>
          <w:szCs w:val="24"/>
        </w:rPr>
        <w:t>Efektivitas metode KOH 10% + tinta Parker Blue Black sangat penting terutama di daerah tropis dengan prevalensi tinggi infeksi jamur kulit. Metode ini tidak hanya menghasilkan hasil yang lebih jelas dan akurat, tetapi juga mudah diterapkan dalam praktik laboratorium dengan sumber daya terbatas. Metode ini menjadi solusi praktis dan efisien untuk diagnosis cepat, tanpa memerlukan peralatan laboratorium canggih atau keahlian interpretasi yang tinggi</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fldChar w:fldCharType="begin" w:fldLock="1"/>
      </w:r>
      <w:r>
        <w:rPr>
          <w:rFonts w:ascii="Times New Roman" w:eastAsia="Times New Roman" w:hAnsi="Times New Roman" w:cs="Times New Roman"/>
          <w:sz w:val="24"/>
          <w:szCs w:val="24"/>
        </w:rPr>
        <w:instrText>ADDIN CSL_CITATION {"citationItems":[{"id":"ITEM-1","itemData":{"DOI":"10.30742/jikw.v9i2.943","ISSN":"1978-2071","abstract":"Superficial dermatomycosis is a fungal infection of the skin, nail and hair. Based on the pathogen, this infection can be divided into dermatophytosis, phytiriasis versicolor and candidiasis. The rapid diagnosis for this infection is the key point to deliver the right theraphy. The supporting investigation for this infection can be performed directly using KOH. The KOH 20% solution has an indistict color contrast, that cause the fungal element seemed transparent. The observant expertise would be required for this case. The alternative method to enhance sensitivity and specificity of KOH is to add dyes such as Blue Black parker ink. The objectives of this research was to observe the sensitivity and specificity of KOH 20% + blue black parker ink in comparisson with KOH 20% method in superficial dermatomycosis. The research method was cross sectional design analitical obsevation with 30 research subjects. The samples were taken from superficial dermatomycosis lesion swabs. These samples were tested using KOH 20% solution and KOH 20% + blue black parker ink solution in Siti Khodijah Muhammadiyah Hospital, Sepanjang and dr. Makmuri Clinics, Surabaya. The results demonstrated that the sensitivity of KOH 20% solution and KOH 20% + blue black parker ink solution were 86.67% and 93.33%, respectively. The specificity of KOH 20% solution and KOH 20% + blue black parker ink solution were 100% and 100%, respectively. It can be concluded from the research that KOH 20% + blue black parker ink solution can be used for the routine diagnosis for superficial dermatomycosis due to the high sensitivity and specificity.","author":[{"dropping-particle":"","family":"Ramadhani","given":"firda ulfa","non-dropping-particle":"","parse-names":false,"suffix":""},{"dropping-particle":"","family":"Ratnasari","given":"diana tri","non-dropping-particle":"","parse-names":false,"suffix":""},{"dropping-particle":"","family":"Masfufatun","given":"","non-dropping-particle":"","parse-names":false,"suffix":""}],"container-title":"Jurnal Ilmiah Kedokteran Wijaya Kusuma","id":"ITEM-1","issue":"2","issued":{"date-parts":[["2020"]]},"page":"218-228","title":"Sensitivitas dan Spesifisitas Metode KOH 20% + Tinta Parker Blue Black Dibandingkan dengan KOH 20% pada Dermatomikosis Superfisialis","type":"article-journal","volume":"9"},"uris":["http://www.mendeley.com/documents/?uuid=0c2de337-6571-4db0-98e7-2cc42f921540"]}],"mendeley":{"formattedCitation":"(Ramadhani et al., 2020)","plainTextFormattedCitation":"(Ramadhani et al., 2020)","previouslyFormattedCitation":"(Ramadhani, Ratnasari, and Masfufatun 2020)"},"properties":{"noteIndex":0},"schema":"https://github.com/citation-style-language/schema/raw/master/csl-citation.json"}</w:instrText>
      </w:r>
      <w:r>
        <w:rPr>
          <w:rFonts w:ascii="Times New Roman" w:eastAsia="Times New Roman" w:hAnsi="Times New Roman" w:cs="Times New Roman"/>
          <w:sz w:val="24"/>
          <w:szCs w:val="24"/>
        </w:rPr>
        <w:fldChar w:fldCharType="separate"/>
      </w:r>
      <w:r w:rsidRPr="000C4EC8">
        <w:rPr>
          <w:rFonts w:ascii="Times New Roman" w:eastAsia="Times New Roman" w:hAnsi="Times New Roman" w:cs="Times New Roman"/>
          <w:noProof/>
          <w:sz w:val="24"/>
          <w:szCs w:val="24"/>
        </w:rPr>
        <w:t>(Ramadhani et al., 2020)</w:t>
      </w:r>
      <w:r>
        <w:rPr>
          <w:rFonts w:ascii="Times New Roman" w:eastAsia="Times New Roman" w:hAnsi="Times New Roman" w:cs="Times New Roman"/>
          <w:sz w:val="24"/>
          <w:szCs w:val="24"/>
        </w:rPr>
        <w:fldChar w:fldCharType="end"/>
      </w:r>
      <w:r w:rsidRPr="000C197D">
        <w:rPr>
          <w:rFonts w:ascii="Times New Roman" w:eastAsia="Times New Roman" w:hAnsi="Times New Roman" w:cs="Times New Roman"/>
          <w:sz w:val="24"/>
          <w:szCs w:val="24"/>
        </w:rPr>
        <w:t>.</w:t>
      </w:r>
    </w:p>
    <w:p w:rsidR="00B2471D" w:rsidRDefault="00B2471D" w:rsidP="00B2471D">
      <w:pPr>
        <w:spacing w:after="0" w:line="480" w:lineRule="auto"/>
        <w:ind w:left="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0C197D">
        <w:rPr>
          <w:rFonts w:ascii="Times New Roman" w:eastAsia="Times New Roman" w:hAnsi="Times New Roman" w:cs="Times New Roman"/>
          <w:sz w:val="24"/>
          <w:szCs w:val="24"/>
        </w:rPr>
        <w:t>Analisis statistik mengg</w:t>
      </w:r>
      <w:r>
        <w:rPr>
          <w:rFonts w:ascii="Times New Roman" w:eastAsia="Times New Roman" w:hAnsi="Times New Roman" w:cs="Times New Roman"/>
          <w:sz w:val="24"/>
          <w:szCs w:val="24"/>
        </w:rPr>
        <w:t xml:space="preserve">unakan uji </w:t>
      </w:r>
      <w:r w:rsidRPr="00904F1E">
        <w:rPr>
          <w:rFonts w:ascii="Times New Roman" w:eastAsia="Times New Roman" w:hAnsi="Times New Roman" w:cs="Times New Roman"/>
          <w:i/>
          <w:sz w:val="24"/>
          <w:szCs w:val="24"/>
        </w:rPr>
        <w:t>Chi Square</w:t>
      </w:r>
      <w:r>
        <w:rPr>
          <w:rFonts w:ascii="Times New Roman" w:eastAsia="Times New Roman" w:hAnsi="Times New Roman" w:cs="Times New Roman"/>
          <w:sz w:val="24"/>
          <w:szCs w:val="24"/>
        </w:rPr>
        <w:t xml:space="preserve"> </w:t>
      </w:r>
      <w:r w:rsidRPr="000C197D">
        <w:rPr>
          <w:rFonts w:ascii="Times New Roman" w:eastAsia="Times New Roman" w:hAnsi="Times New Roman" w:cs="Times New Roman"/>
          <w:sz w:val="24"/>
          <w:szCs w:val="24"/>
        </w:rPr>
        <w:t xml:space="preserve">Test menghasilkan </w:t>
      </w:r>
      <w:r>
        <w:rPr>
          <w:rFonts w:ascii="Times New Roman" w:eastAsia="Times New Roman" w:hAnsi="Times New Roman" w:cs="Times New Roman"/>
          <w:sz w:val="24"/>
          <w:szCs w:val="24"/>
        </w:rPr>
        <w:t>nilai signifikansi sebesar 0,001</w:t>
      </w:r>
      <w:r w:rsidRPr="000C197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p </w:t>
      </w:r>
      <w:r w:rsidRPr="000C197D">
        <w:rPr>
          <w:rFonts w:ascii="Times New Roman" w:eastAsia="Times New Roman" w:hAnsi="Times New Roman" w:cs="Times New Roman"/>
          <w:sz w:val="24"/>
          <w:szCs w:val="24"/>
        </w:rPr>
        <w:t xml:space="preserve">&lt; 0,05), yang berarti terdapat perbedaan yang bermakna antara hasil kedua metode. Dengan demikian, hipotesis alternatif (Ha) diterima, yang menyatakan bahwa terdapat perbedaan antara hasil pemeriksaan mikroskopik langsung menggunakan KOH 10% + Methylene Blue dan KOH 10% + tinta Parker </w:t>
      </w:r>
      <w:r w:rsidRPr="00E672AC">
        <w:rPr>
          <w:rFonts w:ascii="Times New Roman" w:eastAsia="Times New Roman" w:hAnsi="Times New Roman" w:cs="Times New Roman"/>
          <w:i/>
          <w:sz w:val="24"/>
          <w:szCs w:val="24"/>
        </w:rPr>
        <w:t>blue black</w:t>
      </w:r>
      <w:r w:rsidRPr="000C197D">
        <w:rPr>
          <w:rFonts w:ascii="Times New Roman" w:eastAsia="Times New Roman" w:hAnsi="Times New Roman" w:cs="Times New Roman"/>
          <w:sz w:val="24"/>
          <w:szCs w:val="24"/>
        </w:rPr>
        <w:t xml:space="preserve">. Temuan ini memperkuat bukti bahwa pemilihan metode pewarnaan sangat mempengaruhi keakuratan diagnosis </w:t>
      </w:r>
      <w:r w:rsidRPr="000C197D">
        <w:rPr>
          <w:rFonts w:ascii="Times New Roman" w:eastAsia="Times New Roman" w:hAnsi="Times New Roman" w:cs="Times New Roman"/>
          <w:i/>
          <w:iCs/>
          <w:sz w:val="24"/>
          <w:szCs w:val="24"/>
        </w:rPr>
        <w:t>Tinea versicolor</w:t>
      </w:r>
      <w:r>
        <w:rPr>
          <w:rFonts w:ascii="Times New Roman" w:eastAsia="Times New Roman" w:hAnsi="Times New Roman" w:cs="Times New Roman"/>
          <w:sz w:val="24"/>
          <w:szCs w:val="24"/>
        </w:rPr>
        <w:t>.</w:t>
      </w:r>
    </w:p>
    <w:p w:rsidR="00B2471D" w:rsidRDefault="00B2471D" w:rsidP="00B2471D">
      <w:pPr>
        <w:spacing w:after="0" w:line="480" w:lineRule="auto"/>
        <w:ind w:left="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b/>
      </w:r>
      <w:r w:rsidRPr="000C197D">
        <w:rPr>
          <w:rFonts w:ascii="Times New Roman" w:eastAsia="Times New Roman" w:hAnsi="Times New Roman" w:cs="Times New Roman"/>
          <w:sz w:val="24"/>
          <w:szCs w:val="24"/>
        </w:rPr>
        <w:t xml:space="preserve">Dengan hasil penelitian ini, diharapkan metode KOH 10% + tinta Parker </w:t>
      </w:r>
      <w:r w:rsidRPr="00E672AC">
        <w:rPr>
          <w:rFonts w:ascii="Times New Roman" w:eastAsia="Times New Roman" w:hAnsi="Times New Roman" w:cs="Times New Roman"/>
          <w:i/>
          <w:sz w:val="24"/>
          <w:szCs w:val="24"/>
        </w:rPr>
        <w:t>blue black</w:t>
      </w:r>
      <w:r w:rsidRPr="000C197D">
        <w:rPr>
          <w:rFonts w:ascii="Times New Roman" w:eastAsia="Times New Roman" w:hAnsi="Times New Roman" w:cs="Times New Roman"/>
          <w:sz w:val="24"/>
          <w:szCs w:val="24"/>
        </w:rPr>
        <w:t xml:space="preserve"> dapat menjadi metode alternatif yang direkomendasikan dalam pemeriksaan jamur superfisial, khususnya </w:t>
      </w:r>
      <w:r w:rsidRPr="000C197D">
        <w:rPr>
          <w:rFonts w:ascii="Times New Roman" w:eastAsia="Times New Roman" w:hAnsi="Times New Roman" w:cs="Times New Roman"/>
          <w:i/>
          <w:iCs/>
          <w:sz w:val="24"/>
          <w:szCs w:val="24"/>
        </w:rPr>
        <w:t>Tinea versicolor</w:t>
      </w:r>
      <w:r w:rsidRPr="000C197D">
        <w:rPr>
          <w:rFonts w:ascii="Times New Roman" w:eastAsia="Times New Roman" w:hAnsi="Times New Roman" w:cs="Times New Roman"/>
          <w:sz w:val="24"/>
          <w:szCs w:val="24"/>
        </w:rPr>
        <w:t>. Penelitian ini juga memberikan kontribusi terhadap pengembangan metode diagnosis mikologi klinis di fasilitas kesehatan dasar. Selain itu, pentingnya edukasi masyarakat tentang kebersihan diri tetap menjadi langkah preventif utama terhadap penyebaran infeksi jamur kulit, terutama pada anak-anak dan remaja di daerah tropis.</w:t>
      </w:r>
    </w:p>
    <w:p w:rsidR="00CB72DB" w:rsidRDefault="00CB72DB">
      <w:bookmarkStart w:id="0" w:name="_GoBack"/>
      <w:bookmarkEnd w:id="0"/>
    </w:p>
    <w:sectPr w:rsidR="00CB72D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17583363"/>
      <w:docPartObj>
        <w:docPartGallery w:val="Page Numbers (Bottom of Page)"/>
        <w:docPartUnique/>
      </w:docPartObj>
    </w:sdtPr>
    <w:sdtEndPr>
      <w:rPr>
        <w:noProof/>
      </w:rPr>
    </w:sdtEndPr>
    <w:sdtContent>
      <w:p w:rsidR="001C7E9E" w:rsidRDefault="00B2471D">
        <w:pPr>
          <w:pStyle w:val="Footer"/>
          <w:jc w:val="center"/>
          <w:rPr>
            <w:noProof/>
          </w:rPr>
        </w:pPr>
        <w:r>
          <w:fldChar w:fldCharType="begin"/>
        </w:r>
        <w:r>
          <w:instrText xml:space="preserve"> PAGE   \* MERGEFORMAT </w:instrText>
        </w:r>
        <w:r>
          <w:fldChar w:fldCharType="separate"/>
        </w:r>
        <w:r>
          <w:rPr>
            <w:noProof/>
          </w:rPr>
          <w:t>25</w:t>
        </w:r>
        <w:r>
          <w:rPr>
            <w:noProof/>
          </w:rPr>
          <w:fldChar w:fldCharType="end"/>
        </w:r>
      </w:p>
      <w:p w:rsidR="001C7E9E" w:rsidRDefault="00B2471D">
        <w:pPr>
          <w:pStyle w:val="Footer"/>
          <w:jc w:val="center"/>
        </w:pPr>
      </w:p>
    </w:sdtContent>
  </w:sdt>
  <w:p w:rsidR="001C7E9E" w:rsidRPr="003E3709" w:rsidRDefault="00B2471D" w:rsidP="0044109E">
    <w:pPr>
      <w:pStyle w:val="Footer"/>
      <w:rPr>
        <w:rFonts w:ascii="Times New Roman" w:hAnsi="Times New Roman" w:cs="Times New Roman"/>
        <w:b/>
        <w:bCs/>
        <w:sz w:val="20"/>
        <w:szCs w:val="20"/>
      </w:rPr>
    </w:pPr>
    <w:r w:rsidRPr="003C1DAC">
      <w:rPr>
        <w:rFonts w:ascii="Times New Roman" w:hAnsi="Times New Roman" w:cs="Times New Roman"/>
        <w:b/>
        <w:bCs/>
        <w:sz w:val="20"/>
        <w:szCs w:val="20"/>
      </w:rPr>
      <w:t>TEKNOLOGI LABORATORIUM MEDIS (DIII) - WIKA BALI</w:t>
    </w:r>
  </w:p>
  <w:p w:rsidR="001C7E9E" w:rsidRDefault="00B2471D">
    <w:pPr>
      <w:pStyle w:val="Foo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7E9E" w:rsidRDefault="00B2471D">
    <w:pPr>
      <w:pStyle w:val="Header"/>
      <w:jc w:val="right"/>
    </w:pPr>
  </w:p>
  <w:p w:rsidR="001C7E9E" w:rsidRDefault="00B2471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8446D4F"/>
    <w:multiLevelType w:val="hybridMultilevel"/>
    <w:tmpl w:val="5274851A"/>
    <w:lvl w:ilvl="0" w:tplc="5156C3A6">
      <w:start w:val="1"/>
      <w:numFmt w:val="upperLetter"/>
      <w:lvlText w:val="(%1)"/>
      <w:lvlJc w:val="left"/>
      <w:pPr>
        <w:ind w:left="2520" w:hanging="360"/>
      </w:pPr>
      <w:rPr>
        <w:rFonts w:hint="default"/>
      </w:rPr>
    </w:lvl>
    <w:lvl w:ilvl="1" w:tplc="38090019" w:tentative="1">
      <w:start w:val="1"/>
      <w:numFmt w:val="lowerLetter"/>
      <w:lvlText w:val="%2."/>
      <w:lvlJc w:val="left"/>
      <w:pPr>
        <w:ind w:left="3240" w:hanging="360"/>
      </w:pPr>
    </w:lvl>
    <w:lvl w:ilvl="2" w:tplc="3809001B" w:tentative="1">
      <w:start w:val="1"/>
      <w:numFmt w:val="lowerRoman"/>
      <w:lvlText w:val="%3."/>
      <w:lvlJc w:val="right"/>
      <w:pPr>
        <w:ind w:left="3960" w:hanging="180"/>
      </w:pPr>
    </w:lvl>
    <w:lvl w:ilvl="3" w:tplc="3809000F" w:tentative="1">
      <w:start w:val="1"/>
      <w:numFmt w:val="decimal"/>
      <w:lvlText w:val="%4."/>
      <w:lvlJc w:val="left"/>
      <w:pPr>
        <w:ind w:left="4680" w:hanging="360"/>
      </w:pPr>
    </w:lvl>
    <w:lvl w:ilvl="4" w:tplc="38090019" w:tentative="1">
      <w:start w:val="1"/>
      <w:numFmt w:val="lowerLetter"/>
      <w:lvlText w:val="%5."/>
      <w:lvlJc w:val="left"/>
      <w:pPr>
        <w:ind w:left="5400" w:hanging="360"/>
      </w:pPr>
    </w:lvl>
    <w:lvl w:ilvl="5" w:tplc="3809001B" w:tentative="1">
      <w:start w:val="1"/>
      <w:numFmt w:val="lowerRoman"/>
      <w:lvlText w:val="%6."/>
      <w:lvlJc w:val="right"/>
      <w:pPr>
        <w:ind w:left="6120" w:hanging="180"/>
      </w:pPr>
    </w:lvl>
    <w:lvl w:ilvl="6" w:tplc="3809000F" w:tentative="1">
      <w:start w:val="1"/>
      <w:numFmt w:val="decimal"/>
      <w:lvlText w:val="%7."/>
      <w:lvlJc w:val="left"/>
      <w:pPr>
        <w:ind w:left="6840" w:hanging="360"/>
      </w:pPr>
    </w:lvl>
    <w:lvl w:ilvl="7" w:tplc="38090019" w:tentative="1">
      <w:start w:val="1"/>
      <w:numFmt w:val="lowerLetter"/>
      <w:lvlText w:val="%8."/>
      <w:lvlJc w:val="left"/>
      <w:pPr>
        <w:ind w:left="7560" w:hanging="360"/>
      </w:pPr>
    </w:lvl>
    <w:lvl w:ilvl="8" w:tplc="3809001B" w:tentative="1">
      <w:start w:val="1"/>
      <w:numFmt w:val="lowerRoman"/>
      <w:lvlText w:val="%9."/>
      <w:lvlJc w:val="right"/>
      <w:pPr>
        <w:ind w:left="8280" w:hanging="180"/>
      </w:pPr>
    </w:lvl>
  </w:abstractNum>
  <w:abstractNum w:abstractNumId="1">
    <w:nsid w:val="5DD6189F"/>
    <w:multiLevelType w:val="hybridMultilevel"/>
    <w:tmpl w:val="B19ACFC6"/>
    <w:lvl w:ilvl="0" w:tplc="47B8C47E">
      <w:start w:val="1"/>
      <w:numFmt w:val="upperLetter"/>
      <w:lvlText w:val="(%1)"/>
      <w:lvlJc w:val="left"/>
      <w:pPr>
        <w:ind w:left="2517" w:hanging="360"/>
      </w:pPr>
      <w:rPr>
        <w:rFonts w:hint="default"/>
      </w:rPr>
    </w:lvl>
    <w:lvl w:ilvl="1" w:tplc="38090019" w:tentative="1">
      <w:start w:val="1"/>
      <w:numFmt w:val="lowerLetter"/>
      <w:lvlText w:val="%2."/>
      <w:lvlJc w:val="left"/>
      <w:pPr>
        <w:ind w:left="3237" w:hanging="360"/>
      </w:pPr>
    </w:lvl>
    <w:lvl w:ilvl="2" w:tplc="3809001B" w:tentative="1">
      <w:start w:val="1"/>
      <w:numFmt w:val="lowerRoman"/>
      <w:lvlText w:val="%3."/>
      <w:lvlJc w:val="right"/>
      <w:pPr>
        <w:ind w:left="3957" w:hanging="180"/>
      </w:pPr>
    </w:lvl>
    <w:lvl w:ilvl="3" w:tplc="3809000F" w:tentative="1">
      <w:start w:val="1"/>
      <w:numFmt w:val="decimal"/>
      <w:lvlText w:val="%4."/>
      <w:lvlJc w:val="left"/>
      <w:pPr>
        <w:ind w:left="4677" w:hanging="360"/>
      </w:pPr>
    </w:lvl>
    <w:lvl w:ilvl="4" w:tplc="38090019" w:tentative="1">
      <w:start w:val="1"/>
      <w:numFmt w:val="lowerLetter"/>
      <w:lvlText w:val="%5."/>
      <w:lvlJc w:val="left"/>
      <w:pPr>
        <w:ind w:left="5397" w:hanging="360"/>
      </w:pPr>
    </w:lvl>
    <w:lvl w:ilvl="5" w:tplc="3809001B" w:tentative="1">
      <w:start w:val="1"/>
      <w:numFmt w:val="lowerRoman"/>
      <w:lvlText w:val="%6."/>
      <w:lvlJc w:val="right"/>
      <w:pPr>
        <w:ind w:left="6117" w:hanging="180"/>
      </w:pPr>
    </w:lvl>
    <w:lvl w:ilvl="6" w:tplc="3809000F" w:tentative="1">
      <w:start w:val="1"/>
      <w:numFmt w:val="decimal"/>
      <w:lvlText w:val="%7."/>
      <w:lvlJc w:val="left"/>
      <w:pPr>
        <w:ind w:left="6837" w:hanging="360"/>
      </w:pPr>
    </w:lvl>
    <w:lvl w:ilvl="7" w:tplc="38090019" w:tentative="1">
      <w:start w:val="1"/>
      <w:numFmt w:val="lowerLetter"/>
      <w:lvlText w:val="%8."/>
      <w:lvlJc w:val="left"/>
      <w:pPr>
        <w:ind w:left="7557" w:hanging="360"/>
      </w:pPr>
    </w:lvl>
    <w:lvl w:ilvl="8" w:tplc="3809001B" w:tentative="1">
      <w:start w:val="1"/>
      <w:numFmt w:val="lowerRoman"/>
      <w:lvlText w:val="%9."/>
      <w:lvlJc w:val="right"/>
      <w:pPr>
        <w:ind w:left="8277"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471D"/>
    <w:rsid w:val="000C71D3"/>
    <w:rsid w:val="00693FDB"/>
    <w:rsid w:val="009863FE"/>
    <w:rsid w:val="00A00EB8"/>
    <w:rsid w:val="00A3127C"/>
    <w:rsid w:val="00B2471D"/>
    <w:rsid w:val="00B2725E"/>
    <w:rsid w:val="00CB72DB"/>
    <w:rsid w:val="00D27547"/>
    <w:rsid w:val="00D36A77"/>
    <w:rsid w:val="00E829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21858E-91F3-4AD0-97B5-F0682FB0F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ind w:left="357"/>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471D"/>
  </w:style>
  <w:style w:type="paragraph" w:styleId="Heading1">
    <w:name w:val="heading 1"/>
    <w:basedOn w:val="Normal"/>
    <w:next w:val="Normal"/>
    <w:link w:val="Heading1Char"/>
    <w:autoRedefine/>
    <w:uiPriority w:val="9"/>
    <w:qFormat/>
    <w:rsid w:val="00D36A77"/>
    <w:pPr>
      <w:keepNext/>
      <w:keepLines/>
      <w:spacing w:before="240" w:after="0"/>
      <w:ind w:left="0"/>
      <w:outlineLvl w:val="0"/>
    </w:pPr>
    <w:rPr>
      <w:rFonts w:eastAsiaTheme="majorEastAsia" w:cstheme="majorBidi"/>
      <w:b/>
      <w:szCs w:val="40"/>
    </w:rPr>
  </w:style>
  <w:style w:type="paragraph" w:styleId="Heading2">
    <w:name w:val="heading 2"/>
    <w:basedOn w:val="Normal"/>
    <w:next w:val="Normal"/>
    <w:link w:val="Heading2Char"/>
    <w:autoRedefine/>
    <w:uiPriority w:val="9"/>
    <w:unhideWhenUsed/>
    <w:qFormat/>
    <w:rsid w:val="00D36A77"/>
    <w:pPr>
      <w:keepNext/>
      <w:keepLines/>
      <w:spacing w:before="160" w:after="120"/>
      <w:ind w:left="0"/>
      <w:outlineLvl w:val="1"/>
    </w:pPr>
    <w:rPr>
      <w:rFonts w:eastAsiaTheme="majorEastAsia" w:cstheme="majorBidi"/>
      <w:b/>
      <w:szCs w:val="33"/>
    </w:rPr>
  </w:style>
  <w:style w:type="paragraph" w:styleId="Heading3">
    <w:name w:val="heading 3"/>
    <w:basedOn w:val="Normal"/>
    <w:next w:val="Normal"/>
    <w:link w:val="Heading3Char"/>
    <w:autoRedefine/>
    <w:uiPriority w:val="9"/>
    <w:unhideWhenUsed/>
    <w:qFormat/>
    <w:rsid w:val="00D36A77"/>
    <w:pPr>
      <w:keepNext/>
      <w:keepLines/>
      <w:spacing w:before="40" w:after="0"/>
      <w:ind w:left="0"/>
      <w:outlineLvl w:val="2"/>
    </w:pPr>
    <w:rPr>
      <w:rFonts w:eastAsiaTheme="majorEastAsia" w:cstheme="majorBidi"/>
      <w:b/>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6A77"/>
    <w:rPr>
      <w:rFonts w:eastAsiaTheme="majorEastAsia" w:cstheme="majorBidi"/>
      <w:b/>
      <w:szCs w:val="40"/>
    </w:rPr>
  </w:style>
  <w:style w:type="character" w:customStyle="1" w:styleId="Heading2Char">
    <w:name w:val="Heading 2 Char"/>
    <w:basedOn w:val="DefaultParagraphFont"/>
    <w:link w:val="Heading2"/>
    <w:uiPriority w:val="9"/>
    <w:rsid w:val="00D36A77"/>
    <w:rPr>
      <w:rFonts w:eastAsiaTheme="majorEastAsia" w:cstheme="majorBidi"/>
      <w:b/>
      <w:szCs w:val="33"/>
    </w:rPr>
  </w:style>
  <w:style w:type="character" w:customStyle="1" w:styleId="Heading3Char">
    <w:name w:val="Heading 3 Char"/>
    <w:basedOn w:val="DefaultParagraphFont"/>
    <w:link w:val="Heading3"/>
    <w:uiPriority w:val="9"/>
    <w:rsid w:val="00D36A77"/>
    <w:rPr>
      <w:rFonts w:eastAsiaTheme="majorEastAsia" w:cstheme="majorBidi"/>
      <w:b/>
      <w:szCs w:val="30"/>
    </w:rPr>
  </w:style>
  <w:style w:type="paragraph" w:styleId="ListParagraph">
    <w:name w:val="List Paragraph"/>
    <w:basedOn w:val="Normal"/>
    <w:uiPriority w:val="34"/>
    <w:qFormat/>
    <w:rsid w:val="00B2471D"/>
    <w:pPr>
      <w:ind w:left="720"/>
      <w:contextualSpacing/>
    </w:pPr>
  </w:style>
  <w:style w:type="paragraph" w:styleId="Header">
    <w:name w:val="header"/>
    <w:basedOn w:val="Normal"/>
    <w:link w:val="HeaderChar"/>
    <w:uiPriority w:val="99"/>
    <w:unhideWhenUsed/>
    <w:rsid w:val="00B2471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471D"/>
  </w:style>
  <w:style w:type="paragraph" w:styleId="Footer">
    <w:name w:val="footer"/>
    <w:basedOn w:val="Normal"/>
    <w:link w:val="FooterChar"/>
    <w:uiPriority w:val="99"/>
    <w:unhideWhenUsed/>
    <w:rsid w:val="00B247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471D"/>
  </w:style>
  <w:style w:type="paragraph" w:styleId="NormalWeb">
    <w:name w:val="Normal (Web)"/>
    <w:basedOn w:val="Normal"/>
    <w:uiPriority w:val="99"/>
    <w:unhideWhenUsed/>
    <w:rsid w:val="00B2471D"/>
    <w:pPr>
      <w:spacing w:before="100" w:beforeAutospacing="1" w:after="100" w:afterAutospacing="1" w:line="240" w:lineRule="auto"/>
      <w:ind w:left="0"/>
    </w:pPr>
    <w:rPr>
      <w:rFonts w:ascii="Times New Roman" w:eastAsia="Times New Roman" w:hAnsi="Times New Roman" w:cs="Times New Roman"/>
      <w:sz w:val="24"/>
      <w:szCs w:val="24"/>
    </w:rPr>
  </w:style>
  <w:style w:type="character" w:customStyle="1" w:styleId="fadeinm1hgl8">
    <w:name w:val="_fadein_m1hgl_8"/>
    <w:basedOn w:val="DefaultParagraphFont"/>
    <w:rsid w:val="00B2471D"/>
  </w:style>
  <w:style w:type="table" w:styleId="PlainTable2">
    <w:name w:val="Plain Table 2"/>
    <w:basedOn w:val="TableNormal"/>
    <w:uiPriority w:val="42"/>
    <w:rsid w:val="00B2471D"/>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11" Type="http://schemas.openxmlformats.org/officeDocument/2006/relationships/fontTable" Target="fontTable.xml"/><Relationship Id="rId5" Type="http://schemas.openxmlformats.org/officeDocument/2006/relationships/header" Target="header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4914</Words>
  <Characters>28013</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ANGGUN YOUR BUBU</dc:creator>
  <cp:keywords/>
  <dc:description/>
  <cp:lastModifiedBy>ANGGUN YOUR BUBU</cp:lastModifiedBy>
  <cp:revision>1</cp:revision>
  <dcterms:created xsi:type="dcterms:W3CDTF">2025-06-24T05:41:00Z</dcterms:created>
  <dcterms:modified xsi:type="dcterms:W3CDTF">2025-06-24T05:42:00Z</dcterms:modified>
</cp:coreProperties>
</file>