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2501" w14:textId="77777777" w:rsidR="004478E3" w:rsidRDefault="004478E3" w:rsidP="004478E3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73">
        <w:rPr>
          <w:rFonts w:ascii="Times New Roman" w:hAnsi="Times New Roman" w:cs="Times New Roman"/>
          <w:b/>
          <w:bCs/>
          <w:sz w:val="24"/>
          <w:szCs w:val="24"/>
        </w:rPr>
        <w:t xml:space="preserve">BAB VI </w:t>
      </w:r>
    </w:p>
    <w:p w14:paraId="6004982A" w14:textId="77777777" w:rsidR="004478E3" w:rsidRDefault="004478E3" w:rsidP="004478E3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673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2B4E6664" w14:textId="77777777" w:rsidR="004478E3" w:rsidRDefault="004478E3" w:rsidP="004478E3">
      <w:pPr>
        <w:tabs>
          <w:tab w:val="left" w:pos="954"/>
          <w:tab w:val="center" w:pos="413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AC9B7" w14:textId="77777777" w:rsidR="004478E3" w:rsidRDefault="004478E3" w:rsidP="004478E3">
      <w:pPr>
        <w:tabs>
          <w:tab w:val="left" w:pos="954"/>
          <w:tab w:val="center" w:pos="41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673">
        <w:rPr>
          <w:rFonts w:ascii="Times New Roman" w:hAnsi="Times New Roman" w:cs="Times New Roman"/>
          <w:b/>
          <w:bCs/>
          <w:sz w:val="24"/>
          <w:szCs w:val="24"/>
        </w:rPr>
        <w:t xml:space="preserve">4.1 Hasil </w:t>
      </w:r>
      <w:proofErr w:type="spellStart"/>
      <w:r w:rsidRPr="00D13673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13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D964F3" w14:textId="77777777" w:rsidR="004478E3" w:rsidRDefault="004478E3" w:rsidP="004478E3">
      <w:pPr>
        <w:tabs>
          <w:tab w:val="left" w:pos="954"/>
          <w:tab w:val="center" w:pos="41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673">
        <w:rPr>
          <w:rFonts w:ascii="Times New Roman" w:hAnsi="Times New Roman" w:cs="Times New Roman"/>
          <w:b/>
          <w:bCs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Deskripsi</w:t>
      </w:r>
      <w:proofErr w:type="spellEnd"/>
      <w:r w:rsidRPr="00D13673">
        <w:rPr>
          <w:rFonts w:ascii="Times New Roman" w:hAnsi="Times New Roman" w:cs="Times New Roman"/>
          <w:b/>
          <w:bCs/>
          <w:sz w:val="24"/>
          <w:szCs w:val="24"/>
        </w:rPr>
        <w:t xml:space="preserve"> Lokasi </w:t>
      </w:r>
      <w:proofErr w:type="spellStart"/>
      <w:r w:rsidRPr="00D13673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136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8026E4E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9EE">
        <w:rPr>
          <w:rFonts w:ascii="Times New Roman" w:hAnsi="Times New Roman" w:cs="Times New Roman"/>
          <w:sz w:val="24"/>
          <w:szCs w:val="24"/>
        </w:rPr>
        <w:t xml:space="preserve">Banjar Dinas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Rendang,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Karangasem, Bali,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Gunung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Agung.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(KK) di wilayah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9929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685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129</w:t>
      </w:r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EE">
        <w:rPr>
          <w:rFonts w:ascii="Times New Roman" w:hAnsi="Times New Roman" w:cs="Times New Roman"/>
          <w:sz w:val="24"/>
          <w:szCs w:val="24"/>
        </w:rPr>
        <w:t xml:space="preserve">Masyarakat Banjar Dinas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bermata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pencaharian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9B">
        <w:rPr>
          <w:rFonts w:ascii="Times New Roman" w:hAnsi="Times New Roman" w:cs="Times New Roman"/>
          <w:sz w:val="24"/>
          <w:szCs w:val="24"/>
        </w:rPr>
        <w:t>www.besakih.id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E90BC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9EE">
        <w:rPr>
          <w:rFonts w:ascii="Times New Roman" w:hAnsi="Times New Roman" w:cs="Times New Roman"/>
          <w:sz w:val="24"/>
          <w:szCs w:val="24"/>
        </w:rPr>
        <w:t xml:space="preserve">Wilayah </w:t>
      </w:r>
      <w:r>
        <w:rPr>
          <w:rFonts w:ascii="Times New Roman" w:hAnsi="Times New Roman" w:cs="Times New Roman"/>
          <w:sz w:val="24"/>
          <w:szCs w:val="24"/>
        </w:rPr>
        <w:t xml:space="preserve">Banjar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sejuk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kontur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pegunungan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. Kondisi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r w:rsidRPr="00E70AB7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992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r w:rsidRPr="00E70AB7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E70AB7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9EE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9929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35371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  <w:sectPr w:rsidR="004478E3" w:rsidSect="004478E3">
          <w:headerReference w:type="default" r:id="rId5"/>
          <w:footerReference w:type="default" r:id="rId6"/>
          <w:pgSz w:w="11906" w:h="16838" w:code="9"/>
          <w:pgMar w:top="1701" w:right="1701" w:bottom="1701" w:left="2268" w:header="720" w:footer="1134" w:gutter="0"/>
          <w:cols w:space="708"/>
          <w:docGrid w:linePitch="360"/>
        </w:sectPr>
      </w:pPr>
      <w:proofErr w:type="spellStart"/>
      <w:r w:rsidRPr="00E70AB7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r w:rsidRPr="00E70AB7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E70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r w:rsidRPr="004E42A2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E42A2">
        <w:rPr>
          <w:rFonts w:ascii="Times New Roman" w:hAnsi="Times New Roman" w:cs="Times New Roman"/>
          <w:i/>
          <w:iCs/>
          <w:sz w:val="24"/>
          <w:szCs w:val="24"/>
        </w:rPr>
        <w:t>ersikolor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. Kondisi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r w:rsidRPr="00E70AB7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70AB7">
        <w:rPr>
          <w:rFonts w:ascii="Times New Roman" w:hAnsi="Times New Roman" w:cs="Times New Roman"/>
          <w:i/>
          <w:iCs/>
          <w:sz w:val="24"/>
          <w:szCs w:val="24"/>
        </w:rPr>
        <w:t>ersikolor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sebum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bercak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coklat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bersisik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, dada, dan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gatal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0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B7">
        <w:rPr>
          <w:rFonts w:ascii="Times New Roman" w:hAnsi="Times New Roman" w:cs="Times New Roman"/>
          <w:sz w:val="24"/>
          <w:szCs w:val="24"/>
        </w:rPr>
        <w:t>berkeringa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74D30A" w14:textId="77777777" w:rsidR="004478E3" w:rsidRPr="00EE32FA" w:rsidRDefault="004478E3" w:rsidP="004478E3">
      <w:pPr>
        <w:tabs>
          <w:tab w:val="left" w:pos="954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2F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2FA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Pr="00EE3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32FA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</w:p>
    <w:p w14:paraId="05D1214B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purposive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Karangasem.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(Tabel 4.1). </w:t>
      </w:r>
    </w:p>
    <w:p w14:paraId="42F6FB0F" w14:textId="77777777" w:rsidR="004478E3" w:rsidRPr="000612FB" w:rsidRDefault="004478E3" w:rsidP="004478E3">
      <w:pPr>
        <w:pStyle w:val="ListParagraph"/>
        <w:tabs>
          <w:tab w:val="left" w:pos="954"/>
          <w:tab w:val="center" w:pos="4135"/>
        </w:tabs>
        <w:spacing w:after="0" w:line="480" w:lineRule="auto"/>
        <w:ind w:left="10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6BD">
        <w:rPr>
          <w:rFonts w:ascii="Times New Roman" w:hAnsi="Times New Roman" w:cs="Times New Roman"/>
          <w:b/>
          <w:bCs/>
          <w:sz w:val="24"/>
          <w:szCs w:val="24"/>
        </w:rPr>
        <w:t>Tabel 4.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2FB"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 w:rsidRPr="00061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12FB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PlainTable2"/>
        <w:tblW w:w="0" w:type="auto"/>
        <w:tblInd w:w="426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16"/>
        <w:gridCol w:w="1673"/>
        <w:gridCol w:w="1500"/>
        <w:gridCol w:w="1644"/>
        <w:gridCol w:w="1225"/>
      </w:tblGrid>
      <w:tr w:rsidR="004478E3" w14:paraId="58A40AAD" w14:textId="77777777" w:rsidTr="00053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tcBorders>
              <w:bottom w:val="none" w:sz="0" w:space="0" w:color="auto"/>
            </w:tcBorders>
          </w:tcPr>
          <w:p w14:paraId="180A4CDD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F7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</w:p>
        </w:tc>
        <w:tc>
          <w:tcPr>
            <w:tcW w:w="1673" w:type="dxa"/>
            <w:tcBorders>
              <w:bottom w:val="none" w:sz="0" w:space="0" w:color="auto"/>
            </w:tcBorders>
          </w:tcPr>
          <w:p w14:paraId="5E3368AA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F7">
              <w:rPr>
                <w:rFonts w:ascii="Times New Roman" w:hAnsi="Times New Roman" w:cs="Times New Roman"/>
                <w:sz w:val="24"/>
                <w:szCs w:val="24"/>
              </w:rPr>
              <w:t xml:space="preserve">Kategori </w:t>
            </w:r>
          </w:p>
        </w:tc>
        <w:tc>
          <w:tcPr>
            <w:tcW w:w="1500" w:type="dxa"/>
            <w:tcBorders>
              <w:bottom w:val="none" w:sz="0" w:space="0" w:color="auto"/>
            </w:tcBorders>
          </w:tcPr>
          <w:p w14:paraId="75432C4E" w14:textId="77777777" w:rsidR="004478E3" w:rsidRPr="00CF39F7" w:rsidRDefault="004478E3" w:rsidP="00053A25">
            <w:pPr>
              <w:tabs>
                <w:tab w:val="center" w:pos="88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F7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F39F7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644" w:type="dxa"/>
            <w:tcBorders>
              <w:bottom w:val="none" w:sz="0" w:space="0" w:color="auto"/>
            </w:tcBorders>
          </w:tcPr>
          <w:p w14:paraId="2D07916A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F7"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5" w:type="dxa"/>
            <w:tcBorders>
              <w:bottom w:val="none" w:sz="0" w:space="0" w:color="auto"/>
            </w:tcBorders>
          </w:tcPr>
          <w:p w14:paraId="16626AB3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F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478E3" w14:paraId="431F7153" w14:textId="77777777" w:rsidTr="0005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3A6AC9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Jenis Kelamin</w:t>
            </w:r>
          </w:p>
        </w:tc>
        <w:tc>
          <w:tcPr>
            <w:tcW w:w="1673" w:type="dxa"/>
            <w:tcBorders>
              <w:top w:val="none" w:sz="0" w:space="0" w:color="auto"/>
              <w:bottom w:val="none" w:sz="0" w:space="0" w:color="auto"/>
            </w:tcBorders>
          </w:tcPr>
          <w:p w14:paraId="641F75FD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</w:t>
            </w:r>
            <w:proofErr w:type="spellEnd"/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</w:tcPr>
          <w:p w14:paraId="25FE4400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4" w:type="dxa"/>
            <w:tcBorders>
              <w:top w:val="none" w:sz="0" w:space="0" w:color="auto"/>
              <w:bottom w:val="none" w:sz="0" w:space="0" w:color="auto"/>
            </w:tcBorders>
          </w:tcPr>
          <w:p w14:paraId="26838CB8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25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BA24B8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478E3" w14:paraId="11C1E9AD" w14:textId="77777777" w:rsidTr="00053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Merge/>
          </w:tcPr>
          <w:p w14:paraId="284B45C2" w14:textId="77777777" w:rsidR="004478E3" w:rsidRDefault="004478E3" w:rsidP="00053A25">
            <w:pPr>
              <w:tabs>
                <w:tab w:val="left" w:pos="954"/>
                <w:tab w:val="center" w:pos="4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ABFFDB0" w14:textId="77777777" w:rsidR="004478E3" w:rsidRDefault="004478E3" w:rsidP="00053A25">
            <w:pPr>
              <w:tabs>
                <w:tab w:val="left" w:pos="954"/>
                <w:tab w:val="center" w:pos="41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500" w:type="dxa"/>
          </w:tcPr>
          <w:p w14:paraId="62743D73" w14:textId="77777777" w:rsidR="004478E3" w:rsidRDefault="004478E3" w:rsidP="00053A25">
            <w:pPr>
              <w:tabs>
                <w:tab w:val="left" w:pos="954"/>
                <w:tab w:val="center" w:pos="41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20664FED" w14:textId="77777777" w:rsidR="004478E3" w:rsidRDefault="004478E3" w:rsidP="00053A25">
            <w:pPr>
              <w:tabs>
                <w:tab w:val="left" w:pos="954"/>
                <w:tab w:val="center" w:pos="41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25" w:type="dxa"/>
            <w:vMerge/>
            <w:vAlign w:val="center"/>
          </w:tcPr>
          <w:p w14:paraId="10150733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3" w14:paraId="33284423" w14:textId="77777777" w:rsidTr="0005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2E4386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Usia</w:t>
            </w:r>
            <w:proofErr w:type="spellEnd"/>
            <w:r w:rsidRPr="00F04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Anak</w:t>
            </w:r>
          </w:p>
          <w:p w14:paraId="24E155EE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3AA54AA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7EE95A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7CB1B9A" w14:textId="77777777" w:rsidR="004478E3" w:rsidRDefault="004478E3" w:rsidP="00053A25">
            <w:pPr>
              <w:tabs>
                <w:tab w:val="left" w:pos="954"/>
                <w:tab w:val="center" w:pos="4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ED116" w14:textId="77777777" w:rsidR="004478E3" w:rsidRPr="00EA5996" w:rsidRDefault="004478E3" w:rsidP="00053A25">
            <w:pPr>
              <w:tabs>
                <w:tab w:val="left" w:pos="954"/>
                <w:tab w:val="center" w:pos="4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D839A4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478E3" w14:paraId="46C61A33" w14:textId="77777777" w:rsidTr="00053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dxa"/>
            <w:vMerge/>
          </w:tcPr>
          <w:p w14:paraId="2ACABA59" w14:textId="77777777" w:rsidR="004478E3" w:rsidRDefault="004478E3" w:rsidP="00053A25">
            <w:pPr>
              <w:tabs>
                <w:tab w:val="left" w:pos="954"/>
                <w:tab w:val="center" w:pos="4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E5BB4AF" w14:textId="77777777" w:rsidR="004478E3" w:rsidRDefault="004478E3" w:rsidP="00053A25">
            <w:pPr>
              <w:tabs>
                <w:tab w:val="left" w:pos="954"/>
                <w:tab w:val="center" w:pos="41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  <w:shd w:val="clear" w:color="auto" w:fill="auto"/>
          </w:tcPr>
          <w:p w14:paraId="5F2F7AEF" w14:textId="77777777" w:rsidR="004478E3" w:rsidRDefault="004478E3" w:rsidP="00053A25">
            <w:pPr>
              <w:tabs>
                <w:tab w:val="left" w:pos="954"/>
                <w:tab w:val="center" w:pos="41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4" w:type="dxa"/>
            <w:shd w:val="clear" w:color="auto" w:fill="auto"/>
          </w:tcPr>
          <w:p w14:paraId="3B8C091A" w14:textId="77777777" w:rsidR="004478E3" w:rsidRDefault="004478E3" w:rsidP="00053A25">
            <w:pPr>
              <w:tabs>
                <w:tab w:val="left" w:pos="954"/>
                <w:tab w:val="center" w:pos="41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5" w:type="dxa"/>
            <w:vMerge/>
            <w:vAlign w:val="center"/>
          </w:tcPr>
          <w:p w14:paraId="064601F7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7FC95" w14:textId="77777777" w:rsidR="004478E3" w:rsidRDefault="004478E3" w:rsidP="004478E3">
      <w:pPr>
        <w:tabs>
          <w:tab w:val="left" w:pos="954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A2BE" w14:textId="77777777" w:rsidR="004478E3" w:rsidRPr="00A77B37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B3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Tabel 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77B3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A77B3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7B37"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7B3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77B37"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A77B37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37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A77B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A77B37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pra-sekolah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5D18DC" w14:textId="77777777" w:rsidR="004478E3" w:rsidRPr="008154D1" w:rsidRDefault="004478E3" w:rsidP="004478E3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D1">
        <w:rPr>
          <w:rFonts w:ascii="Times New Roman" w:hAnsi="Times New Roman" w:cs="Times New Roman"/>
          <w:b/>
          <w:bCs/>
          <w:sz w:val="24"/>
          <w:szCs w:val="24"/>
        </w:rPr>
        <w:t>Tabel 4.2.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Gambaran Kondisi Personal </w:t>
      </w:r>
      <w:r w:rsidRPr="00585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Hygiene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</w:p>
    <w:tbl>
      <w:tblPr>
        <w:tblStyle w:val="TableGrid"/>
        <w:tblW w:w="0" w:type="auto"/>
        <w:tblInd w:w="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843"/>
        <w:gridCol w:w="1239"/>
        <w:gridCol w:w="1578"/>
        <w:gridCol w:w="1568"/>
      </w:tblGrid>
      <w:tr w:rsidR="004478E3" w:rsidRPr="00CF39F7" w14:paraId="608C9096" w14:textId="77777777" w:rsidTr="00053A25">
        <w:trPr>
          <w:trHeight w:val="472"/>
        </w:trPr>
        <w:tc>
          <w:tcPr>
            <w:tcW w:w="1275" w:type="dxa"/>
            <w:vAlign w:val="center"/>
          </w:tcPr>
          <w:p w14:paraId="458F6E7D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ondisi Hygiene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Sanitasi</w:t>
            </w:r>
            <w:proofErr w:type="spellEnd"/>
          </w:p>
        </w:tc>
        <w:tc>
          <w:tcPr>
            <w:tcW w:w="1843" w:type="dxa"/>
            <w:vAlign w:val="center"/>
          </w:tcPr>
          <w:p w14:paraId="2A8E7E97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221" w:type="dxa"/>
            <w:vAlign w:val="center"/>
          </w:tcPr>
          <w:p w14:paraId="379B1DC7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1578" w:type="dxa"/>
            <w:vAlign w:val="center"/>
          </w:tcPr>
          <w:p w14:paraId="54D23A9A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568" w:type="dxa"/>
            <w:vAlign w:val="center"/>
          </w:tcPr>
          <w:p w14:paraId="201F0196" w14:textId="77777777" w:rsidR="004478E3" w:rsidRPr="00CF39F7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4478E3" w14:paraId="2C62660D" w14:textId="77777777" w:rsidTr="00053A25">
        <w:trPr>
          <w:trHeight w:val="244"/>
        </w:trPr>
        <w:tc>
          <w:tcPr>
            <w:tcW w:w="1275" w:type="dxa"/>
            <w:vMerge w:val="restart"/>
            <w:vAlign w:val="center"/>
          </w:tcPr>
          <w:p w14:paraId="0B93B412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</w:p>
        </w:tc>
        <w:tc>
          <w:tcPr>
            <w:tcW w:w="1843" w:type="dxa"/>
          </w:tcPr>
          <w:p w14:paraId="3C6FC765" w14:textId="77777777" w:rsidR="004478E3" w:rsidRPr="00DF1D2D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2D">
              <w:rPr>
                <w:rFonts w:ascii="Times New Roman" w:hAnsi="Times New Roman" w:cs="Times New Roman"/>
                <w:sz w:val="24"/>
                <w:szCs w:val="24"/>
              </w:rPr>
              <w:t xml:space="preserve">1 kali </w:t>
            </w:r>
            <w:proofErr w:type="spellStart"/>
            <w:r w:rsidRPr="00DF1D2D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221" w:type="dxa"/>
          </w:tcPr>
          <w:p w14:paraId="274131A7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</w:tcPr>
          <w:p w14:paraId="0B1AA3D8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68" w:type="dxa"/>
            <w:vMerge w:val="restart"/>
            <w:vAlign w:val="center"/>
          </w:tcPr>
          <w:p w14:paraId="180C5696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478E3" w14:paraId="3599C743" w14:textId="77777777" w:rsidTr="00053A25">
        <w:trPr>
          <w:trHeight w:val="70"/>
        </w:trPr>
        <w:tc>
          <w:tcPr>
            <w:tcW w:w="1275" w:type="dxa"/>
            <w:vMerge/>
          </w:tcPr>
          <w:p w14:paraId="55F1C4FB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1EBD3B" w14:textId="77777777" w:rsidR="004478E3" w:rsidRPr="00DF1D2D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kali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221" w:type="dxa"/>
          </w:tcPr>
          <w:p w14:paraId="314E576D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14:paraId="257CC605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568" w:type="dxa"/>
            <w:vMerge/>
          </w:tcPr>
          <w:p w14:paraId="3EC563FD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4478E3" w14:paraId="0E2208AF" w14:textId="77777777" w:rsidTr="00053A25">
        <w:trPr>
          <w:trHeight w:val="251"/>
        </w:trPr>
        <w:tc>
          <w:tcPr>
            <w:tcW w:w="1275" w:type="dxa"/>
            <w:vMerge w:val="restart"/>
            <w:vAlign w:val="center"/>
          </w:tcPr>
          <w:p w14:paraId="677E33D3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Berganti</w:t>
            </w:r>
            <w:proofErr w:type="spellEnd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</w:p>
        </w:tc>
        <w:tc>
          <w:tcPr>
            <w:tcW w:w="1843" w:type="dxa"/>
          </w:tcPr>
          <w:p w14:paraId="6F97015D" w14:textId="77777777" w:rsidR="004478E3" w:rsidRPr="00DF1D2D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2D">
              <w:rPr>
                <w:rFonts w:ascii="Times New Roman" w:hAnsi="Times New Roman" w:cs="Times New Roman"/>
                <w:sz w:val="24"/>
                <w:szCs w:val="24"/>
              </w:rPr>
              <w:t xml:space="preserve">1 kali </w:t>
            </w:r>
            <w:proofErr w:type="spellStart"/>
            <w:r w:rsidRPr="00DF1D2D"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221" w:type="dxa"/>
          </w:tcPr>
          <w:p w14:paraId="0F1C3337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14:paraId="47E58425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68" w:type="dxa"/>
            <w:vMerge w:val="restart"/>
            <w:vAlign w:val="center"/>
          </w:tcPr>
          <w:p w14:paraId="4B0B5E00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478E3" w14:paraId="03D41A67" w14:textId="77777777" w:rsidTr="00053A25">
        <w:trPr>
          <w:trHeight w:val="242"/>
        </w:trPr>
        <w:tc>
          <w:tcPr>
            <w:tcW w:w="1275" w:type="dxa"/>
            <w:vMerge/>
          </w:tcPr>
          <w:p w14:paraId="4AB3DD84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45F6C7" w14:textId="77777777" w:rsidR="004478E3" w:rsidRPr="00DF1D2D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kali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221" w:type="dxa"/>
          </w:tcPr>
          <w:p w14:paraId="24192ABA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14:paraId="7488F3EA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568" w:type="dxa"/>
            <w:vMerge/>
          </w:tcPr>
          <w:p w14:paraId="450249C0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3" w14:paraId="5FFE8630" w14:textId="77777777" w:rsidTr="00053A25">
        <w:trPr>
          <w:trHeight w:val="245"/>
        </w:trPr>
        <w:tc>
          <w:tcPr>
            <w:tcW w:w="1275" w:type="dxa"/>
            <w:vMerge w:val="restart"/>
            <w:vAlign w:val="center"/>
          </w:tcPr>
          <w:p w14:paraId="7B05981D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Mencuci</w:t>
            </w:r>
            <w:proofErr w:type="spellEnd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  <w:proofErr w:type="spellEnd"/>
          </w:p>
        </w:tc>
        <w:tc>
          <w:tcPr>
            <w:tcW w:w="1843" w:type="dxa"/>
          </w:tcPr>
          <w:p w14:paraId="20A9814E" w14:textId="77777777" w:rsidR="004478E3" w:rsidRPr="00F04547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221" w:type="dxa"/>
          </w:tcPr>
          <w:p w14:paraId="21D24F0D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</w:tcPr>
          <w:p w14:paraId="1C2F64AA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68" w:type="dxa"/>
            <w:vMerge w:val="restart"/>
            <w:vAlign w:val="center"/>
          </w:tcPr>
          <w:p w14:paraId="61359769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78E3" w14:paraId="5A553CA4" w14:textId="77777777" w:rsidTr="00053A25">
        <w:trPr>
          <w:trHeight w:val="236"/>
        </w:trPr>
        <w:tc>
          <w:tcPr>
            <w:tcW w:w="1275" w:type="dxa"/>
            <w:vMerge/>
          </w:tcPr>
          <w:p w14:paraId="426EC09F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E05DCB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21" w:type="dxa"/>
          </w:tcPr>
          <w:p w14:paraId="137AF9E8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6FD205DB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568" w:type="dxa"/>
            <w:vMerge/>
          </w:tcPr>
          <w:p w14:paraId="673794D2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3" w14:paraId="0AEEB0BC" w14:textId="77777777" w:rsidTr="00053A25">
        <w:trPr>
          <w:trHeight w:val="225"/>
        </w:trPr>
        <w:tc>
          <w:tcPr>
            <w:tcW w:w="1275" w:type="dxa"/>
            <w:vMerge w:val="restart"/>
            <w:vAlign w:val="center"/>
          </w:tcPr>
          <w:p w14:paraId="13043F31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1843" w:type="dxa"/>
          </w:tcPr>
          <w:p w14:paraId="24F8E596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Sumur</w:t>
            </w:r>
            <w:proofErr w:type="spellEnd"/>
          </w:p>
        </w:tc>
        <w:tc>
          <w:tcPr>
            <w:tcW w:w="1221" w:type="dxa"/>
          </w:tcPr>
          <w:p w14:paraId="7B8C7A77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</w:tcPr>
          <w:p w14:paraId="5743124D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68" w:type="dxa"/>
            <w:vMerge w:val="restart"/>
            <w:vAlign w:val="center"/>
          </w:tcPr>
          <w:p w14:paraId="4322038A" w14:textId="77777777" w:rsidR="004478E3" w:rsidRPr="004379FB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478E3" w14:paraId="524EBF9A" w14:textId="77777777" w:rsidTr="00053A25">
        <w:trPr>
          <w:trHeight w:val="230"/>
        </w:trPr>
        <w:tc>
          <w:tcPr>
            <w:tcW w:w="1275" w:type="dxa"/>
            <w:vMerge/>
          </w:tcPr>
          <w:p w14:paraId="01FEC97C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43B77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Pam</w:t>
            </w:r>
          </w:p>
        </w:tc>
        <w:tc>
          <w:tcPr>
            <w:tcW w:w="1221" w:type="dxa"/>
          </w:tcPr>
          <w:p w14:paraId="39EA1E86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14:paraId="65A1C070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1568" w:type="dxa"/>
            <w:vMerge/>
          </w:tcPr>
          <w:p w14:paraId="096066A7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E3" w14:paraId="601E1240" w14:textId="77777777" w:rsidTr="00053A25">
        <w:trPr>
          <w:trHeight w:val="77"/>
        </w:trPr>
        <w:tc>
          <w:tcPr>
            <w:tcW w:w="1275" w:type="dxa"/>
            <w:vMerge/>
          </w:tcPr>
          <w:p w14:paraId="321953DC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B2DB64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Hujan</w:t>
            </w:r>
            <w:proofErr w:type="spellEnd"/>
          </w:p>
        </w:tc>
        <w:tc>
          <w:tcPr>
            <w:tcW w:w="1221" w:type="dxa"/>
          </w:tcPr>
          <w:p w14:paraId="38975535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</w:tcPr>
          <w:p w14:paraId="20ACAFD7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1568" w:type="dxa"/>
            <w:vMerge/>
          </w:tcPr>
          <w:p w14:paraId="1BE29FED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F0234" w14:textId="77777777" w:rsidR="004478E3" w:rsidRDefault="004478E3" w:rsidP="004478E3">
      <w:pPr>
        <w:tabs>
          <w:tab w:val="left" w:pos="954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486BD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hygiene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mandi 1kali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(61%),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(78%). </w:t>
      </w:r>
      <w:r>
        <w:rPr>
          <w:rFonts w:ascii="Times New Roman" w:hAnsi="Times New Roman" w:cs="Times New Roman"/>
          <w:sz w:val="24"/>
          <w:szCs w:val="24"/>
        </w:rPr>
        <w:t xml:space="preserve">Lalu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(87%). </w:t>
      </w:r>
      <w:r w:rsidRPr="00E9192F">
        <w:rPr>
          <w:rFonts w:ascii="Times New Roman" w:hAnsi="Times New Roman" w:cs="Times New Roman"/>
          <w:sz w:val="24"/>
          <w:szCs w:val="24"/>
        </w:rPr>
        <w:t xml:space="preserve">Serta,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air pam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9192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E9192F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E1F89F" w14:textId="77777777" w:rsidR="004478E3" w:rsidRPr="00F671C5" w:rsidRDefault="004478E3" w:rsidP="004478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BBE2F" w14:textId="77777777" w:rsidR="004478E3" w:rsidRPr="00493426" w:rsidRDefault="004478E3" w:rsidP="004478E3">
      <w:pPr>
        <w:tabs>
          <w:tab w:val="left" w:pos="954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493426"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426">
        <w:rPr>
          <w:rFonts w:ascii="Times New Roman" w:hAnsi="Times New Roman" w:cs="Times New Roman"/>
          <w:b/>
          <w:bCs/>
          <w:sz w:val="24"/>
          <w:szCs w:val="24"/>
        </w:rPr>
        <w:t xml:space="preserve">Jamur </w:t>
      </w:r>
      <w:r w:rsidRPr="00B26C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Malassezia Furfur</w:t>
      </w:r>
      <w:r w:rsidRPr="004934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C8BE36C" w14:textId="77777777" w:rsidR="004478E3" w:rsidRPr="0046169A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Tinea versicolor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 10%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parker.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Tinea versicolor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hipopigmentasi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hiperpigmentasi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A0719D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r>
        <w:rPr>
          <w:rFonts w:ascii="Times New Roman" w:hAnsi="Times New Roman" w:cs="Times New Roman"/>
          <w:sz w:val="24"/>
          <w:szCs w:val="24"/>
        </w:rPr>
        <w:t xml:space="preserve">pada 13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(56,5%)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10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(43,5%) (Tabel 4.2). Sampel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pseudohifa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spaghetti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meatballs </w:t>
      </w:r>
      <w:r>
        <w:rPr>
          <w:rFonts w:ascii="Times New Roman" w:hAnsi="Times New Roman" w:cs="Times New Roman"/>
          <w:sz w:val="24"/>
          <w:szCs w:val="24"/>
        </w:rPr>
        <w:t xml:space="preserve">(Gambar 4.1).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pseudohifa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336388" w14:textId="77777777" w:rsidR="004478E3" w:rsidRDefault="004478E3" w:rsidP="004478E3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C01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Pr="00FC0C46">
        <w:rPr>
          <w:rFonts w:ascii="Times New Roman" w:hAnsi="Times New Roman" w:cs="Times New Roman"/>
          <w:sz w:val="24"/>
          <w:szCs w:val="24"/>
        </w:rPr>
        <w:t xml:space="preserve"> </w:t>
      </w:r>
      <w:r w:rsidRPr="00480C01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0C01">
        <w:rPr>
          <w:rFonts w:ascii="Times New Roman" w:hAnsi="Times New Roman" w:cs="Times New Roman"/>
          <w:b/>
          <w:bCs/>
          <w:sz w:val="24"/>
          <w:szCs w:val="24"/>
        </w:rPr>
        <w:t xml:space="preserve"> Hasil </w:t>
      </w:r>
      <w:proofErr w:type="spellStart"/>
      <w:r w:rsidRPr="00480C01"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 w:rsidRPr="00480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E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Malassezia furfur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700"/>
        <w:gridCol w:w="2127"/>
        <w:gridCol w:w="2409"/>
      </w:tblGrid>
      <w:tr w:rsidR="004478E3" w14:paraId="5A0F862E" w14:textId="77777777" w:rsidTr="00053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E4DE4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700" w:type="dxa"/>
          </w:tcPr>
          <w:p w14:paraId="157F1CD7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127" w:type="dxa"/>
          </w:tcPr>
          <w:p w14:paraId="48822511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2409" w:type="dxa"/>
          </w:tcPr>
          <w:p w14:paraId="43D4E986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4478E3" w14:paraId="6068ADC9" w14:textId="77777777" w:rsidTr="0005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9B7E03" w14:textId="77777777" w:rsidR="004478E3" w:rsidRPr="00022D3E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D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14:paraId="083DF0C4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2127" w:type="dxa"/>
          </w:tcPr>
          <w:p w14:paraId="4B4A411B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7AB08198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56,5 %</w:t>
            </w:r>
          </w:p>
        </w:tc>
      </w:tr>
      <w:tr w:rsidR="004478E3" w14:paraId="7E52284A" w14:textId="77777777" w:rsidTr="00053A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FE4BE" w14:textId="77777777" w:rsidR="004478E3" w:rsidRPr="00022D3E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2D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700" w:type="dxa"/>
          </w:tcPr>
          <w:p w14:paraId="6A571600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2127" w:type="dxa"/>
          </w:tcPr>
          <w:p w14:paraId="29F3FB0F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0FF327FF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43,5 %</w:t>
            </w:r>
          </w:p>
        </w:tc>
      </w:tr>
      <w:tr w:rsidR="004478E3" w14:paraId="3A6C5562" w14:textId="77777777" w:rsidTr="0005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E0AA1A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5EA6DCE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27" w:type="dxa"/>
          </w:tcPr>
          <w:p w14:paraId="7D8340D0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2F5A689F" w14:textId="77777777" w:rsidR="004478E3" w:rsidRDefault="004478E3" w:rsidP="00053A25">
            <w:pPr>
              <w:tabs>
                <w:tab w:val="left" w:pos="954"/>
                <w:tab w:val="center" w:pos="41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9145E3A" w14:textId="77777777" w:rsidR="004478E3" w:rsidRDefault="004478E3" w:rsidP="004478E3">
      <w:pPr>
        <w:tabs>
          <w:tab w:val="left" w:pos="954"/>
          <w:tab w:val="center" w:pos="4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FB7CD" w14:textId="77777777" w:rsidR="004478E3" w:rsidRDefault="004478E3" w:rsidP="004478E3">
      <w:pPr>
        <w:tabs>
          <w:tab w:val="left" w:pos="954"/>
          <w:tab w:val="center" w:pos="4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B206B" w14:textId="77777777" w:rsidR="004478E3" w:rsidRDefault="004478E3" w:rsidP="004478E3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48FAD" wp14:editId="5248B51E">
                <wp:simplePos x="0" y="0"/>
                <wp:positionH relativeFrom="margin">
                  <wp:posOffset>3757930</wp:posOffset>
                </wp:positionH>
                <wp:positionV relativeFrom="paragraph">
                  <wp:posOffset>1449185</wp:posOffset>
                </wp:positionV>
                <wp:extent cx="123825" cy="202565"/>
                <wp:effectExtent l="38100" t="38100" r="28575" b="26035"/>
                <wp:wrapNone/>
                <wp:docPr id="22657523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88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95.9pt;margin-top:114.1pt;width:9.75pt;height:15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90E7F" wp14:editId="558E0CBB">
                <wp:simplePos x="0" y="0"/>
                <wp:positionH relativeFrom="column">
                  <wp:posOffset>3957782</wp:posOffset>
                </wp:positionH>
                <wp:positionV relativeFrom="paragraph">
                  <wp:posOffset>629805</wp:posOffset>
                </wp:positionV>
                <wp:extent cx="123825" cy="202565"/>
                <wp:effectExtent l="38100" t="38100" r="28575" b="26035"/>
                <wp:wrapNone/>
                <wp:docPr id="42838505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202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D4FC" id="Straight Arrow Connector 10" o:spid="_x0000_s1026" type="#_x0000_t32" style="position:absolute;margin-left:311.65pt;margin-top:49.6pt;width:9.75pt;height:15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58B3FAB" wp14:editId="0A1665E1">
            <wp:extent cx="2032385" cy="2029808"/>
            <wp:effectExtent l="0" t="0" r="6350" b="8890"/>
            <wp:docPr id="41726386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78596" name="Picture 124277859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7" t="11688" r="4624" b="25237"/>
                    <a:stretch/>
                  </pic:blipFill>
                  <pic:spPr bwMode="auto">
                    <a:xfrm>
                      <a:off x="0" y="0"/>
                      <a:ext cx="2091611" cy="208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84F2BA7" wp14:editId="304A6103">
            <wp:extent cx="2106376" cy="1995055"/>
            <wp:effectExtent l="0" t="0" r="8255" b="5715"/>
            <wp:docPr id="11575040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78596" name="Picture 124277859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5" t="27885" r="22955" b="43217"/>
                    <a:stretch/>
                  </pic:blipFill>
                  <pic:spPr bwMode="auto">
                    <a:xfrm>
                      <a:off x="0" y="0"/>
                      <a:ext cx="2206959" cy="2090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786C2" w14:textId="77777777" w:rsidR="004478E3" w:rsidRDefault="004478E3" w:rsidP="004478E3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</w:t>
      </w:r>
    </w:p>
    <w:p w14:paraId="07098ACF" w14:textId="77777777" w:rsidR="004478E3" w:rsidRDefault="004478E3" w:rsidP="004478E3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88489" wp14:editId="1A814A72">
                <wp:simplePos x="0" y="0"/>
                <wp:positionH relativeFrom="column">
                  <wp:posOffset>3865245</wp:posOffset>
                </wp:positionH>
                <wp:positionV relativeFrom="paragraph">
                  <wp:posOffset>1220470</wp:posOffset>
                </wp:positionV>
                <wp:extent cx="471170" cy="295275"/>
                <wp:effectExtent l="0" t="0" r="0" b="0"/>
                <wp:wrapNone/>
                <wp:docPr id="204451976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CC0E9" w14:textId="77777777" w:rsidR="004478E3" w:rsidRPr="00022D3E" w:rsidRDefault="004478E3" w:rsidP="004478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8848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4.35pt;margin-top:96.1pt;width:37.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" filled="f" stroked="f" strokeweight=".5pt">
                <v:textbox>
                  <w:txbxContent>
                    <w:p w14:paraId="301CC0E9" w14:textId="77777777" w:rsidR="004478E3" w:rsidRPr="00022D3E" w:rsidRDefault="004478E3" w:rsidP="004478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1C69C" wp14:editId="5DFD4EA6">
                <wp:simplePos x="0" y="0"/>
                <wp:positionH relativeFrom="column">
                  <wp:posOffset>3810000</wp:posOffset>
                </wp:positionH>
                <wp:positionV relativeFrom="paragraph">
                  <wp:posOffset>571500</wp:posOffset>
                </wp:positionV>
                <wp:extent cx="471170" cy="295275"/>
                <wp:effectExtent l="0" t="0" r="0" b="0"/>
                <wp:wrapNone/>
                <wp:docPr id="194743893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6376E" w14:textId="77777777" w:rsidR="004478E3" w:rsidRDefault="004478E3" w:rsidP="004478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C69C" id="_x0000_s1027" type="#_x0000_t202" style="position:absolute;left:0;text-align:left;margin-left:300pt;margin-top:45pt;width:37.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" filled="f" stroked="f" strokeweight=".5pt">
                <v:textbox>
                  <w:txbxContent>
                    <w:p w14:paraId="5066376E" w14:textId="77777777" w:rsidR="004478E3" w:rsidRDefault="004478E3" w:rsidP="004478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Gambar 4.1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Malassesia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furfur</w:t>
      </w:r>
      <w:r>
        <w:rPr>
          <w:rFonts w:ascii="Times New Roman" w:hAnsi="Times New Roman" w:cs="Times New Roman"/>
          <w:sz w:val="24"/>
          <w:szCs w:val="24"/>
        </w:rPr>
        <w:t xml:space="preserve">. A) Jamur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100X, B)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pseudohifa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(b)</w:t>
      </w:r>
    </w:p>
    <w:p w14:paraId="141EE1DF" w14:textId="77777777" w:rsidR="004478E3" w:rsidRDefault="004478E3" w:rsidP="004478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CBE41A" w14:textId="77777777" w:rsidR="004478E3" w:rsidRPr="002533F2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proofErr w:type="spellStart"/>
      <w:r w:rsidRPr="0063660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r w:rsidRPr="00022D3E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pada kerokan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36603">
        <w:rPr>
          <w:rFonts w:ascii="Times New Roman" w:hAnsi="Times New Roman" w:cs="Times New Roman"/>
          <w:sz w:val="24"/>
          <w:szCs w:val="24"/>
        </w:rPr>
        <w:t xml:space="preserve"> Dari total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36603">
        <w:rPr>
          <w:rFonts w:ascii="Times New Roman" w:hAnsi="Times New Roman" w:cs="Times New Roman"/>
          <w:sz w:val="24"/>
          <w:szCs w:val="24"/>
        </w:rPr>
        <w:t xml:space="preserve"> orang (</w:t>
      </w:r>
      <w:r>
        <w:rPr>
          <w:rFonts w:ascii="Times New Roman" w:hAnsi="Times New Roman" w:cs="Times New Roman"/>
          <w:sz w:val="24"/>
          <w:szCs w:val="24"/>
        </w:rPr>
        <w:t>56,5</w:t>
      </w:r>
      <w:r w:rsidRPr="00636603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17,4</w:t>
      </w:r>
      <w:r w:rsidRPr="00636603">
        <w:rPr>
          <w:rFonts w:ascii="Times New Roman" w:hAnsi="Times New Roman" w:cs="Times New Roman"/>
          <w:sz w:val="24"/>
          <w:szCs w:val="24"/>
        </w:rPr>
        <w:t xml:space="preserve">%) dan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82,6</w:t>
      </w:r>
      <w:r w:rsidRPr="00636603">
        <w:rPr>
          <w:rFonts w:ascii="Times New Roman" w:hAnsi="Times New Roman" w:cs="Times New Roman"/>
          <w:sz w:val="24"/>
          <w:szCs w:val="24"/>
        </w:rPr>
        <w:t xml:space="preserve">%).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, 10 </w:t>
      </w:r>
      <w:proofErr w:type="gramStart"/>
      <w:r w:rsidRPr="00636603">
        <w:rPr>
          <w:rFonts w:ascii="Times New Roman" w:hAnsi="Times New Roman" w:cs="Times New Roman"/>
          <w:sz w:val="24"/>
          <w:szCs w:val="24"/>
        </w:rPr>
        <w:t>orang</w:t>
      </w:r>
      <w:proofErr w:type="gramEnd"/>
      <w:r w:rsidRPr="006366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43,5</w:t>
      </w:r>
      <w:r w:rsidRPr="00636603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6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3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E42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4BFAAD36" w14:textId="77777777" w:rsidR="004478E3" w:rsidRPr="00CF39F7" w:rsidRDefault="004478E3" w:rsidP="004478E3">
      <w:pPr>
        <w:pStyle w:val="ListParagraph"/>
        <w:numPr>
          <w:ilvl w:val="1"/>
          <w:numId w:val="1"/>
        </w:numPr>
        <w:tabs>
          <w:tab w:val="left" w:pos="954"/>
          <w:tab w:val="center" w:pos="413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39F7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6AD3BC84" w14:textId="77777777" w:rsidR="004478E3" w:rsidRPr="006C19D0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Tinea versicolor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KOH 10%. 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Tinea versicolor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hipopigmentasi</w:t>
      </w:r>
      <w:proofErr w:type="spellEnd"/>
      <w:r w:rsidRPr="0079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hiperpigmentasi</w:t>
      </w:r>
      <w:proofErr w:type="spellEnd"/>
      <w:r w:rsidRPr="0079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79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sisik</w:t>
      </w:r>
      <w:proofErr w:type="spellEnd"/>
      <w:r w:rsidRPr="0079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7935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79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573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066EAA">
        <w:rPr>
          <w:rFonts w:ascii="Times New Roman" w:hAnsi="Times New Roman" w:cs="Times New Roman"/>
          <w:sz w:val="24"/>
          <w:szCs w:val="24"/>
        </w:rPr>
        <w:t>idaty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r w:rsidRPr="0042180F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066EA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Tinea versicolor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23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area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wajah,leher</w:t>
      </w:r>
      <w:proofErr w:type="gramEnd"/>
      <w:r>
        <w:rPr>
          <w:rFonts w:ascii="Times New Roman" w:hAnsi="Times New Roman" w:cs="Times New Roman"/>
          <w:sz w:val="24"/>
          <w:szCs w:val="24"/>
        </w:rPr>
        <w:t>,punggung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4143B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EA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klinis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r w:rsidRPr="00A20BA7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A20BA7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makula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hipopigmentasi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batas yang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sisik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penggarukan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Mandez </w:t>
      </w:r>
      <w:r w:rsidRPr="0042180F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(2010) </w:t>
      </w:r>
      <w:r w:rsidRPr="00066EA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r w:rsidRPr="00A20BA7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A20BA7">
        <w:rPr>
          <w:rFonts w:ascii="Times New Roman" w:hAnsi="Times New Roman" w:cs="Times New Roman"/>
          <w:i/>
          <w:iCs/>
          <w:sz w:val="24"/>
          <w:szCs w:val="24"/>
        </w:rPr>
        <w:t>ersikolor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makula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bersisik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pada pigmen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Widaty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80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066EAA">
        <w:rPr>
          <w:rFonts w:ascii="Times New Roman" w:hAnsi="Times New Roman" w:cs="Times New Roman"/>
          <w:sz w:val="24"/>
          <w:szCs w:val="24"/>
        </w:rPr>
        <w:t xml:space="preserve"> (2020) juga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r w:rsidRPr="00A20BA7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A20BA7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hipopigmentasi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hiperpigmentasi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sisik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sebum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AA">
        <w:rPr>
          <w:rFonts w:ascii="Times New Roman" w:hAnsi="Times New Roman" w:cs="Times New Roman"/>
          <w:sz w:val="24"/>
          <w:szCs w:val="24"/>
        </w:rPr>
        <w:t>tropis</w:t>
      </w:r>
      <w:proofErr w:type="spellEnd"/>
      <w:r w:rsidRPr="00066EAA">
        <w:rPr>
          <w:rFonts w:ascii="Times New Roman" w:hAnsi="Times New Roman" w:cs="Times New Roman"/>
          <w:sz w:val="24"/>
          <w:szCs w:val="24"/>
        </w:rPr>
        <w:t>.</w:t>
      </w:r>
    </w:p>
    <w:p w14:paraId="49B8F413" w14:textId="77777777" w:rsidR="004478E3" w:rsidRPr="001A2960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0BA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BA7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(56,5%)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terkonfirmasi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r w:rsidRPr="00A20BA7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A20BA7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lastRenderedPageBreak/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teramati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hifa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bergerombol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menyerupai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“</w:t>
      </w:r>
      <w:r w:rsidRPr="00A20BA7">
        <w:rPr>
          <w:rFonts w:ascii="Times New Roman" w:hAnsi="Times New Roman" w:cs="Times New Roman"/>
          <w:i/>
          <w:iCs/>
          <w:sz w:val="24"/>
          <w:szCs w:val="24"/>
        </w:rPr>
        <w:t>spaghetti and meatballs</w:t>
      </w:r>
      <w:r w:rsidRPr="00A20BA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Pr="00A20BA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(43,5%)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KOH 10% dan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Parker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BA7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A20BA7">
        <w:rPr>
          <w:rFonts w:ascii="Times New Roman" w:hAnsi="Times New Roman" w:cs="Times New Roman"/>
          <w:sz w:val="24"/>
          <w:szCs w:val="24"/>
        </w:rPr>
        <w:t>.</w:t>
      </w:r>
    </w:p>
    <w:p w14:paraId="5778522B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500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lipofilik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dimorfik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flora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Jamur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oportunistik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sebum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hormonal,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imun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melemah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hifa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bercabang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oval, yang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“</w:t>
      </w:r>
      <w:r w:rsidRPr="00530500">
        <w:rPr>
          <w:rFonts w:ascii="Times New Roman" w:hAnsi="Times New Roman" w:cs="Times New Roman"/>
          <w:i/>
          <w:iCs/>
          <w:sz w:val="24"/>
          <w:szCs w:val="24"/>
        </w:rPr>
        <w:t>spaghetti and meatballs</w:t>
      </w:r>
      <w:r w:rsidRPr="0053050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KOH (Gaitanis </w:t>
      </w:r>
      <w:r w:rsidRPr="0042180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30500">
        <w:rPr>
          <w:rFonts w:ascii="Times New Roman" w:hAnsi="Times New Roman" w:cs="Times New Roman"/>
          <w:sz w:val="24"/>
          <w:szCs w:val="24"/>
        </w:rPr>
        <w:t xml:space="preserve">., 2012). </w:t>
      </w:r>
    </w:p>
    <w:p w14:paraId="3DF53096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500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r w:rsidRPr="00530500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proofErr w:type="spellStart"/>
      <w:r w:rsidRPr="00530500">
        <w:rPr>
          <w:rFonts w:ascii="Times New Roman" w:hAnsi="Times New Roman" w:cs="Times New Roman"/>
          <w:i/>
          <w:iCs/>
          <w:sz w:val="24"/>
          <w:szCs w:val="24"/>
        </w:rPr>
        <w:t>versikolor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KOH (kalium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hidroksida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) 10% yang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Parker.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KOH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melarutkan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keratin pada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hifa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mikroskop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0500">
        <w:rPr>
          <w:rFonts w:ascii="Times New Roman" w:hAnsi="Times New Roman" w:cs="Times New Roman"/>
          <w:sz w:val="24"/>
          <w:szCs w:val="24"/>
        </w:rPr>
        <w:t xml:space="preserve">arker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00"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 w:rsidRPr="00530500">
        <w:rPr>
          <w:rFonts w:ascii="Times New Roman" w:hAnsi="Times New Roman" w:cs="Times New Roman"/>
          <w:sz w:val="24"/>
          <w:szCs w:val="24"/>
        </w:rPr>
        <w:t xml:space="preserve"> (Rahmawati </w:t>
      </w:r>
      <w:r w:rsidRPr="0042180F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530500">
        <w:rPr>
          <w:rFonts w:ascii="Times New Roman" w:hAnsi="Times New Roman" w:cs="Times New Roman"/>
          <w:sz w:val="24"/>
          <w:szCs w:val="24"/>
        </w:rPr>
        <w:t xml:space="preserve"> 2019).</w:t>
      </w:r>
    </w:p>
    <w:p w14:paraId="0255B2BA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4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967590">
        <w:rPr>
          <w:rFonts w:ascii="Times New Roman" w:hAnsi="Times New Roman" w:cs="Times New Roman"/>
          <w:sz w:val="24"/>
          <w:szCs w:val="24"/>
        </w:rPr>
        <w:t>nak-anak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Tinea versicolor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. Pada masa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pubertas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sebum, yang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media ideal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r w:rsidRPr="00967590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7590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9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tropis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5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7590">
        <w:rPr>
          <w:rFonts w:ascii="Times New Roman" w:hAnsi="Times New Roman" w:cs="Times New Roman"/>
          <w:sz w:val="24"/>
          <w:szCs w:val="24"/>
        </w:rPr>
        <w:t>Widaty</w:t>
      </w:r>
      <w:proofErr w:type="spellEnd"/>
      <w:r w:rsidRPr="00967590">
        <w:rPr>
          <w:rFonts w:ascii="Times New Roman" w:hAnsi="Times New Roman" w:cs="Times New Roman"/>
          <w:sz w:val="24"/>
          <w:szCs w:val="24"/>
        </w:rPr>
        <w:t xml:space="preserve"> </w:t>
      </w:r>
      <w:r w:rsidRPr="0042180F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Pr="00967590">
        <w:rPr>
          <w:rFonts w:ascii="Times New Roman" w:hAnsi="Times New Roman" w:cs="Times New Roman"/>
          <w:sz w:val="24"/>
          <w:szCs w:val="24"/>
        </w:rPr>
        <w:t xml:space="preserve"> 2020).</w:t>
      </w:r>
    </w:p>
    <w:p w14:paraId="2CB640F2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3ABC"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</w:t>
      </w:r>
      <w:r w:rsidRPr="00813ABC">
        <w:rPr>
          <w:rFonts w:ascii="Times New Roman" w:hAnsi="Times New Roman" w:cs="Times New Roman"/>
          <w:sz w:val="24"/>
          <w:szCs w:val="24"/>
        </w:rPr>
        <w:t xml:space="preserve"> h</w:t>
      </w:r>
      <w:r w:rsidRPr="008E689B">
        <w:rPr>
          <w:rFonts w:ascii="Times New Roman" w:hAnsi="Times New Roman" w:cs="Times New Roman"/>
          <w:i/>
          <w:iCs/>
          <w:sz w:val="24"/>
          <w:szCs w:val="24"/>
        </w:rPr>
        <w:t>ygiene</w:t>
      </w:r>
      <w:r w:rsidRPr="00813A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61%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mandi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dan 39% mandi dua kali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(78%)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dua kali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87%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(56%)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oleh air PAM (43%),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6404E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13ABC">
        <w:rPr>
          <w:rFonts w:ascii="Times New Roman" w:hAnsi="Times New Roman" w:cs="Times New Roman"/>
          <w:sz w:val="24"/>
          <w:szCs w:val="24"/>
        </w:rPr>
        <w:t>ondisi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Pr="00813ABC">
        <w:rPr>
          <w:rFonts w:ascii="Times New Roman" w:hAnsi="Times New Roman" w:cs="Times New Roman"/>
          <w:sz w:val="24"/>
          <w:szCs w:val="24"/>
        </w:rPr>
        <w:t xml:space="preserve">hygiene dan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r w:rsidRPr="00813ABC">
        <w:rPr>
          <w:rFonts w:ascii="Times New Roman" w:hAnsi="Times New Roman" w:cs="Times New Roman"/>
          <w:i/>
          <w:iCs/>
          <w:sz w:val="24"/>
          <w:szCs w:val="24"/>
        </w:rPr>
        <w:t xml:space="preserve">Tinea versicolor. </w:t>
      </w:r>
      <w:r w:rsidRPr="00EB3CC1">
        <w:rPr>
          <w:rFonts w:ascii="Times New Roman" w:hAnsi="Times New Roman" w:cs="Times New Roman"/>
          <w:sz w:val="24"/>
          <w:szCs w:val="24"/>
        </w:rPr>
        <w:t>Jamur</w:t>
      </w:r>
      <w:r w:rsidRPr="00813ABC">
        <w:rPr>
          <w:rFonts w:ascii="Times New Roman" w:hAnsi="Times New Roman" w:cs="Times New Roman"/>
          <w:i/>
          <w:iCs/>
          <w:sz w:val="24"/>
          <w:szCs w:val="24"/>
        </w:rPr>
        <w:t xml:space="preserve"> Malassezia</w:t>
      </w:r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lembap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hygiene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oleh Kumar </w:t>
      </w:r>
      <w:r w:rsidRPr="0042180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813ABC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mandi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berkeringat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higienis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hygiene yang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penjernihan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AB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813ABC">
        <w:rPr>
          <w:rFonts w:ascii="Times New Roman" w:hAnsi="Times New Roman" w:cs="Times New Roman"/>
          <w:sz w:val="24"/>
          <w:szCs w:val="24"/>
        </w:rPr>
        <w:t>.</w:t>
      </w:r>
    </w:p>
    <w:p w14:paraId="2A3DF09D" w14:textId="77777777" w:rsidR="004478E3" w:rsidRDefault="004478E3" w:rsidP="004478E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Banjar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pegunungan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Gupta et.al (2018)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, 50,35%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r w:rsidRPr="00CC7895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CC7895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, </w:t>
      </w:r>
      <w:r w:rsidRPr="00CC7895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pada 34,28%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kolonisasi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i/>
          <w:iCs/>
          <w:sz w:val="24"/>
          <w:szCs w:val="24"/>
        </w:rPr>
        <w:t>Malasszia</w:t>
      </w:r>
      <w:proofErr w:type="spellEnd"/>
      <w:r w:rsidRPr="00CC7895">
        <w:rPr>
          <w:rFonts w:ascii="Times New Roman" w:hAnsi="Times New Roman" w:cs="Times New Roman"/>
          <w:i/>
          <w:iCs/>
          <w:sz w:val="24"/>
          <w:szCs w:val="24"/>
        </w:rPr>
        <w:t xml:space="preserve"> furfur</w:t>
      </w:r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lembap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, 49,65%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895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CC7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lastRenderedPageBreak/>
        <w:t>Temuan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menggarisbawahi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6A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4076A4">
        <w:rPr>
          <w:rFonts w:ascii="Times New Roman" w:hAnsi="Times New Roman" w:cs="Times New Roman"/>
          <w:sz w:val="24"/>
          <w:szCs w:val="24"/>
        </w:rPr>
        <w:t>.</w:t>
      </w:r>
    </w:p>
    <w:p w14:paraId="7C1E4689" w14:textId="77777777" w:rsidR="00723C4C" w:rsidRDefault="00723C4C"/>
    <w:sectPr w:rsidR="00723C4C" w:rsidSect="00627F5B">
      <w:pgSz w:w="12240" w:h="20160" w:code="5"/>
      <w:pgMar w:top="1701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4D76" w14:textId="77777777" w:rsidR="00000000" w:rsidRPr="00CC5E10" w:rsidRDefault="00000000" w:rsidP="00CC5E10">
    <w:pPr>
      <w:pStyle w:val="Footer"/>
      <w:rPr>
        <w:rFonts w:ascii="Times New Roman" w:hAnsi="Times New Roman" w:cs="Times New Roman"/>
        <w:b/>
        <w:bCs/>
      </w:rPr>
    </w:pPr>
    <w:r w:rsidRPr="00317A39">
      <w:rPr>
        <w:rFonts w:ascii="Times New Roman" w:hAnsi="Times New Roman" w:cs="Times New Roman"/>
        <w:b/>
        <w:bCs/>
      </w:rPr>
      <w:t>TEKNOLOGI LABORATORIUM MEDIS (III) – WIKA BALI</w:t>
    </w:r>
  </w:p>
  <w:sdt>
    <w:sdtPr>
      <w:id w:val="-173931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7B1A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77BBC" w14:textId="77777777" w:rsidR="00000000" w:rsidRPr="00CC5E10" w:rsidRDefault="00000000" w:rsidP="00CC5E10">
    <w:pPr>
      <w:pStyle w:val="Footer"/>
      <w:rPr>
        <w:rFonts w:ascii="Times New Roman" w:hAnsi="Times New Roman" w:cs="Times New Roman"/>
        <w:b/>
        <w:bCs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196F" w14:textId="77777777" w:rsidR="00000000" w:rsidRDefault="00000000" w:rsidP="00CC5E10">
    <w:pPr>
      <w:pStyle w:val="Header"/>
      <w:jc w:val="center"/>
    </w:pPr>
  </w:p>
  <w:p w14:paraId="133F9D1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835F3"/>
    <w:multiLevelType w:val="multilevel"/>
    <w:tmpl w:val="AFB69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644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E3"/>
    <w:rsid w:val="002C0B06"/>
    <w:rsid w:val="004478E3"/>
    <w:rsid w:val="00627F5B"/>
    <w:rsid w:val="00723C4C"/>
    <w:rsid w:val="00D1071F"/>
    <w:rsid w:val="00E72F22"/>
    <w:rsid w:val="00F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D953"/>
  <w15:chartTrackingRefBased/>
  <w15:docId w15:val="{6295DA03-342E-4FC1-9916-2C91BC0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E3"/>
  </w:style>
  <w:style w:type="paragraph" w:styleId="Heading1">
    <w:name w:val="heading 1"/>
    <w:basedOn w:val="Normal"/>
    <w:next w:val="Normal"/>
    <w:link w:val="Heading1Char"/>
    <w:uiPriority w:val="9"/>
    <w:qFormat/>
    <w:rsid w:val="0044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8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8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8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8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8E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7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E3"/>
  </w:style>
  <w:style w:type="paragraph" w:styleId="Footer">
    <w:name w:val="footer"/>
    <w:basedOn w:val="Normal"/>
    <w:link w:val="FooterChar"/>
    <w:uiPriority w:val="99"/>
    <w:unhideWhenUsed/>
    <w:rsid w:val="00447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E3"/>
  </w:style>
  <w:style w:type="table" w:styleId="TableGrid">
    <w:name w:val="Table Grid"/>
    <w:basedOn w:val="TableNormal"/>
    <w:uiPriority w:val="39"/>
    <w:rsid w:val="0044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47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10045</Characters>
  <Application>Microsoft Office Word</Application>
  <DocSecurity>0</DocSecurity>
  <Lines>83</Lines>
  <Paragraphs>23</Paragraphs>
  <ScaleCrop>false</ScaleCrop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adelia</dc:creator>
  <cp:keywords/>
  <dc:description/>
  <cp:lastModifiedBy>devi adelia</cp:lastModifiedBy>
  <cp:revision>1</cp:revision>
  <dcterms:created xsi:type="dcterms:W3CDTF">2025-06-24T06:39:00Z</dcterms:created>
  <dcterms:modified xsi:type="dcterms:W3CDTF">2025-06-24T06:39:00Z</dcterms:modified>
</cp:coreProperties>
</file>