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0DFE" w14:textId="77777777" w:rsidR="00750F30" w:rsidRPr="00103958" w:rsidRDefault="00750F30" w:rsidP="00750F30">
      <w:pPr>
        <w:spacing w:after="0"/>
        <w:jc w:val="center"/>
        <w:rPr>
          <w:rFonts w:ascii="Times New Roman" w:hAnsi="Times New Roman" w:cs="Times New Roman"/>
          <w:b/>
          <w:bCs/>
          <w:i/>
          <w:iCs/>
          <w:sz w:val="28"/>
          <w:szCs w:val="28"/>
        </w:rPr>
      </w:pPr>
      <w:r w:rsidRPr="00103958">
        <w:rPr>
          <w:rFonts w:ascii="Times New Roman" w:hAnsi="Times New Roman" w:cs="Times New Roman"/>
          <w:b/>
          <w:bCs/>
          <w:i/>
          <w:iCs/>
          <w:sz w:val="32"/>
          <w:szCs w:val="32"/>
        </w:rPr>
        <w:t>ABSTRACT</w:t>
      </w:r>
    </w:p>
    <w:p w14:paraId="2DD88811" w14:textId="77777777" w:rsidR="00750F30" w:rsidRPr="00103958" w:rsidRDefault="00750F30" w:rsidP="00750F30">
      <w:pPr>
        <w:spacing w:after="0"/>
        <w:jc w:val="center"/>
        <w:rPr>
          <w:rFonts w:ascii="Times New Roman" w:hAnsi="Times New Roman" w:cs="Times New Roman"/>
          <w:b/>
          <w:bCs/>
          <w:i/>
          <w:iCs/>
          <w:sz w:val="32"/>
          <w:szCs w:val="32"/>
        </w:rPr>
      </w:pPr>
    </w:p>
    <w:p w14:paraId="66E8AFE5" w14:textId="77777777" w:rsidR="00750F30" w:rsidRPr="00103958" w:rsidRDefault="00750F30" w:rsidP="00750F30">
      <w:pPr>
        <w:spacing w:after="0"/>
        <w:jc w:val="center"/>
        <w:rPr>
          <w:rFonts w:ascii="Times New Roman" w:hAnsi="Times New Roman" w:cs="Times New Roman"/>
          <w:b/>
          <w:bCs/>
          <w:i/>
          <w:iCs/>
          <w:sz w:val="28"/>
          <w:szCs w:val="28"/>
        </w:rPr>
      </w:pPr>
      <w:r w:rsidRPr="00103958">
        <w:rPr>
          <w:rFonts w:ascii="Times New Roman" w:hAnsi="Times New Roman" w:cs="Times New Roman"/>
          <w:b/>
          <w:bCs/>
          <w:i/>
          <w:iCs/>
          <w:sz w:val="28"/>
          <w:szCs w:val="28"/>
        </w:rPr>
        <w:t>THE RELATIONSHIP BETWEEN HEALTHCARE STAFF COMPLIANCE WITH BLOOD TRANSFUSION STANDARD OPERATING PROCEDURES AND PATIENT TRANSFUSION SAFETY AT TABANAN</w:t>
      </w:r>
      <w:r>
        <w:rPr>
          <w:rFonts w:ascii="Times New Roman" w:hAnsi="Times New Roman" w:cs="Times New Roman"/>
          <w:b/>
          <w:bCs/>
          <w:i/>
          <w:iCs/>
          <w:sz w:val="28"/>
          <w:szCs w:val="28"/>
        </w:rPr>
        <w:t xml:space="preserve"> REGIONAL GENERAL</w:t>
      </w:r>
      <w:r w:rsidRPr="00103958">
        <w:rPr>
          <w:rFonts w:ascii="Times New Roman" w:hAnsi="Times New Roman" w:cs="Times New Roman"/>
          <w:b/>
          <w:bCs/>
          <w:i/>
          <w:iCs/>
          <w:sz w:val="28"/>
          <w:szCs w:val="28"/>
        </w:rPr>
        <w:t xml:space="preserve"> HOSPITAL</w:t>
      </w:r>
    </w:p>
    <w:p w14:paraId="07B0CC1F" w14:textId="77777777" w:rsidR="00750F30" w:rsidRPr="00103958" w:rsidRDefault="00750F30" w:rsidP="00750F30">
      <w:pPr>
        <w:spacing w:after="0"/>
        <w:jc w:val="center"/>
        <w:rPr>
          <w:rFonts w:ascii="Times New Roman" w:hAnsi="Times New Roman" w:cs="Times New Roman"/>
          <w:b/>
          <w:bCs/>
          <w:i/>
          <w:iCs/>
          <w:sz w:val="24"/>
          <w:szCs w:val="24"/>
        </w:rPr>
      </w:pPr>
    </w:p>
    <w:p w14:paraId="24937244" w14:textId="77777777" w:rsidR="00750F30" w:rsidRPr="004A04BB" w:rsidRDefault="00750F30" w:rsidP="00750F30">
      <w:pPr>
        <w:spacing w:after="0" w:line="240" w:lineRule="auto"/>
        <w:jc w:val="center"/>
        <w:rPr>
          <w:rFonts w:ascii="Times New Roman" w:hAnsi="Times New Roman" w:cs="Times New Roman"/>
          <w:b/>
          <w:bCs/>
          <w:sz w:val="24"/>
          <w:szCs w:val="24"/>
          <w:vertAlign w:val="superscript"/>
        </w:rPr>
      </w:pPr>
      <w:r w:rsidRPr="00103958">
        <w:rPr>
          <w:rFonts w:ascii="Times New Roman" w:hAnsi="Times New Roman" w:cs="Times New Roman"/>
          <w:b/>
          <w:bCs/>
          <w:i/>
          <w:iCs/>
          <w:sz w:val="24"/>
          <w:szCs w:val="24"/>
        </w:rPr>
        <w:t>Ni Kadek Ayu</w:t>
      </w:r>
      <w:r w:rsidRPr="00103958">
        <w:rPr>
          <w:rFonts w:ascii="Times New Roman" w:hAnsi="Times New Roman" w:cs="Times New Roman"/>
          <w:b/>
          <w:bCs/>
          <w:i/>
          <w:iCs/>
          <w:sz w:val="24"/>
          <w:szCs w:val="24"/>
          <w:vertAlign w:val="superscript"/>
        </w:rPr>
        <w:t xml:space="preserve"> </w:t>
      </w:r>
      <w:r w:rsidRPr="00103958">
        <w:rPr>
          <w:rFonts w:ascii="Times New Roman" w:hAnsi="Times New Roman" w:cs="Times New Roman"/>
          <w:b/>
          <w:bCs/>
          <w:i/>
          <w:iCs/>
          <w:sz w:val="24"/>
          <w:szCs w:val="24"/>
        </w:rPr>
        <w:t>Sintyadewi</w:t>
      </w:r>
      <w:r>
        <w:rPr>
          <w:rFonts w:ascii="Times New Roman" w:hAnsi="Times New Roman" w:cs="Times New Roman"/>
          <w:b/>
          <w:bCs/>
          <w:sz w:val="24"/>
          <w:szCs w:val="24"/>
          <w:vertAlign w:val="superscript"/>
        </w:rPr>
        <w:t>1</w:t>
      </w:r>
      <w:r w:rsidRPr="00103958">
        <w:rPr>
          <w:rFonts w:ascii="Times New Roman" w:hAnsi="Times New Roman" w:cs="Times New Roman"/>
          <w:b/>
          <w:bCs/>
          <w:i/>
          <w:iCs/>
          <w:sz w:val="24"/>
          <w:szCs w:val="24"/>
        </w:rPr>
        <w:t>, Ni Ketut Ayu Mirayanti</w:t>
      </w:r>
      <w:r>
        <w:rPr>
          <w:rFonts w:ascii="Times New Roman" w:hAnsi="Times New Roman" w:cs="Times New Roman"/>
          <w:b/>
          <w:bCs/>
          <w:sz w:val="24"/>
          <w:szCs w:val="24"/>
          <w:vertAlign w:val="superscript"/>
        </w:rPr>
        <w:t>2</w:t>
      </w:r>
      <w:r w:rsidRPr="00103958">
        <w:rPr>
          <w:rFonts w:ascii="Times New Roman" w:hAnsi="Times New Roman" w:cs="Times New Roman"/>
          <w:b/>
          <w:bCs/>
          <w:i/>
          <w:iCs/>
          <w:sz w:val="24"/>
          <w:szCs w:val="24"/>
        </w:rPr>
        <w:t>,</w:t>
      </w:r>
      <w:r w:rsidRPr="00103958">
        <w:rPr>
          <w:rFonts w:ascii="Times New Roman" w:hAnsi="Times New Roman" w:cs="Times New Roman"/>
          <w:b/>
          <w:bCs/>
          <w:i/>
          <w:iCs/>
          <w:sz w:val="24"/>
          <w:szCs w:val="24"/>
          <w:vertAlign w:val="superscript"/>
        </w:rPr>
        <w:t xml:space="preserve"> </w:t>
      </w:r>
      <w:r w:rsidRPr="00103958">
        <w:rPr>
          <w:rFonts w:ascii="Times New Roman" w:hAnsi="Times New Roman" w:cs="Times New Roman"/>
          <w:b/>
          <w:bCs/>
          <w:i/>
          <w:iCs/>
          <w:sz w:val="24"/>
          <w:szCs w:val="24"/>
        </w:rPr>
        <w:t>AA Ayu Eka Cahyani</w:t>
      </w:r>
      <w:r>
        <w:rPr>
          <w:rFonts w:ascii="Times New Roman" w:hAnsi="Times New Roman" w:cs="Times New Roman"/>
          <w:b/>
          <w:bCs/>
          <w:sz w:val="24"/>
          <w:szCs w:val="24"/>
          <w:vertAlign w:val="superscript"/>
        </w:rPr>
        <w:t>3</w:t>
      </w:r>
    </w:p>
    <w:p w14:paraId="47936C9A" w14:textId="77777777" w:rsidR="00750F30" w:rsidRPr="00103958" w:rsidRDefault="00750F30" w:rsidP="00750F30">
      <w:pPr>
        <w:spacing w:after="0" w:line="240" w:lineRule="auto"/>
        <w:jc w:val="center"/>
        <w:rPr>
          <w:rFonts w:ascii="Times New Roman" w:hAnsi="Times New Roman" w:cs="Times New Roman"/>
          <w:i/>
          <w:iCs/>
          <w:sz w:val="24"/>
          <w:szCs w:val="24"/>
        </w:rPr>
      </w:pPr>
      <w:r w:rsidRPr="001D3796">
        <w:rPr>
          <w:rFonts w:ascii="Times New Roman" w:hAnsi="Times New Roman" w:cs="Times New Roman"/>
          <w:sz w:val="24"/>
          <w:szCs w:val="24"/>
          <w:vertAlign w:val="superscript"/>
        </w:rPr>
        <w:t>1,3</w:t>
      </w:r>
      <w:r w:rsidRPr="00103958">
        <w:rPr>
          <w:rFonts w:ascii="Times New Roman" w:hAnsi="Times New Roman" w:cs="Times New Roman"/>
          <w:i/>
          <w:iCs/>
          <w:sz w:val="24"/>
          <w:szCs w:val="24"/>
        </w:rPr>
        <w:t xml:space="preserve">Applied Bachelor’s Degree Program </w:t>
      </w:r>
      <w:proofErr w:type="gramStart"/>
      <w:r w:rsidRPr="00103958">
        <w:rPr>
          <w:rFonts w:ascii="Times New Roman" w:hAnsi="Times New Roman" w:cs="Times New Roman"/>
          <w:i/>
          <w:iCs/>
          <w:sz w:val="24"/>
          <w:szCs w:val="24"/>
        </w:rPr>
        <w:t>In</w:t>
      </w:r>
      <w:proofErr w:type="gramEnd"/>
      <w:r w:rsidRPr="00103958">
        <w:rPr>
          <w:rFonts w:ascii="Times New Roman" w:hAnsi="Times New Roman" w:cs="Times New Roman"/>
          <w:i/>
          <w:iCs/>
          <w:sz w:val="24"/>
          <w:szCs w:val="24"/>
        </w:rPr>
        <w:t xml:space="preserve"> Medical Laboratory Technology</w:t>
      </w:r>
    </w:p>
    <w:p w14:paraId="7DBA17DF" w14:textId="77777777" w:rsidR="00750F30" w:rsidRDefault="00750F30" w:rsidP="00750F30">
      <w:pPr>
        <w:spacing w:after="0" w:line="240" w:lineRule="auto"/>
        <w:jc w:val="center"/>
        <w:rPr>
          <w:rFonts w:ascii="Times New Roman" w:hAnsi="Times New Roman" w:cs="Times New Roman"/>
          <w:i/>
          <w:iCs/>
          <w:sz w:val="24"/>
          <w:szCs w:val="24"/>
        </w:rPr>
      </w:pPr>
      <w:r w:rsidRPr="006A3A2B">
        <w:rPr>
          <w:rFonts w:ascii="Times New Roman" w:hAnsi="Times New Roman" w:cs="Times New Roman"/>
          <w:sz w:val="24"/>
          <w:szCs w:val="24"/>
          <w:vertAlign w:val="superscript"/>
        </w:rPr>
        <w:t>2</w:t>
      </w:r>
      <w:r w:rsidRPr="002A51B7">
        <w:rPr>
          <w:rFonts w:ascii="Times New Roman" w:hAnsi="Times New Roman" w:cs="Times New Roman"/>
          <w:i/>
          <w:iCs/>
          <w:sz w:val="24"/>
          <w:szCs w:val="24"/>
        </w:rPr>
        <w:t>Professional Nurse</w:t>
      </w:r>
      <w:r>
        <w:rPr>
          <w:rFonts w:ascii="Times New Roman" w:hAnsi="Times New Roman" w:cs="Times New Roman"/>
          <w:i/>
          <w:iCs/>
          <w:sz w:val="24"/>
          <w:szCs w:val="24"/>
        </w:rPr>
        <w:t xml:space="preserve"> </w:t>
      </w:r>
      <w:r w:rsidRPr="004109DB">
        <w:rPr>
          <w:rFonts w:ascii="Times New Roman" w:hAnsi="Times New Roman" w:cs="Times New Roman"/>
          <w:i/>
          <w:iCs/>
          <w:sz w:val="24"/>
          <w:szCs w:val="24"/>
        </w:rPr>
        <w:t>Education</w:t>
      </w:r>
      <w:r w:rsidRPr="002A51B7">
        <w:rPr>
          <w:rFonts w:ascii="Times New Roman" w:hAnsi="Times New Roman" w:cs="Times New Roman"/>
          <w:i/>
          <w:iCs/>
          <w:sz w:val="24"/>
          <w:szCs w:val="24"/>
        </w:rPr>
        <w:t xml:space="preserve"> Program</w:t>
      </w:r>
      <w:r>
        <w:rPr>
          <w:rFonts w:ascii="Times New Roman" w:hAnsi="Times New Roman" w:cs="Times New Roman"/>
          <w:i/>
          <w:iCs/>
          <w:sz w:val="24"/>
          <w:szCs w:val="24"/>
        </w:rPr>
        <w:t xml:space="preserve"> </w:t>
      </w:r>
    </w:p>
    <w:p w14:paraId="6732D499" w14:textId="77777777" w:rsidR="00750F30" w:rsidRPr="00103958" w:rsidRDefault="00750F30" w:rsidP="00750F30">
      <w:pPr>
        <w:spacing w:after="0" w:line="240" w:lineRule="auto"/>
        <w:jc w:val="center"/>
        <w:rPr>
          <w:rFonts w:ascii="Times New Roman" w:hAnsi="Times New Roman" w:cs="Times New Roman"/>
          <w:i/>
          <w:iCs/>
          <w:sz w:val="24"/>
          <w:szCs w:val="24"/>
        </w:rPr>
      </w:pPr>
      <w:r w:rsidRPr="00D8374A">
        <w:rPr>
          <w:rFonts w:ascii="Times New Roman" w:hAnsi="Times New Roman" w:cs="Times New Roman"/>
          <w:i/>
          <w:iCs/>
          <w:sz w:val="24"/>
          <w:szCs w:val="24"/>
        </w:rPr>
        <w:t>Wira Medika Bali Collage of Health Sciences</w:t>
      </w:r>
    </w:p>
    <w:p w14:paraId="2412E4E6" w14:textId="77777777" w:rsidR="00750F30" w:rsidRPr="00B91B5D" w:rsidRDefault="00750F30" w:rsidP="00750F30">
      <w:pPr>
        <w:jc w:val="center"/>
        <w:rPr>
          <w:rFonts w:ascii="Times New Roman" w:hAnsi="Times New Roman" w:cs="Times New Roman"/>
          <w:i/>
          <w:iCs/>
          <w:sz w:val="24"/>
          <w:szCs w:val="24"/>
        </w:rPr>
      </w:pPr>
    </w:p>
    <w:p w14:paraId="03E413F0" w14:textId="77777777" w:rsidR="00750F30" w:rsidRPr="00103958" w:rsidRDefault="00750F30" w:rsidP="00750F30">
      <w:pPr>
        <w:tabs>
          <w:tab w:val="left" w:leader="dot" w:pos="7371"/>
          <w:tab w:val="right" w:pos="7938"/>
        </w:tabs>
        <w:jc w:val="both"/>
        <w:rPr>
          <w:rFonts w:ascii="Times New Roman" w:hAnsi="Times New Roman" w:cs="Times New Roman"/>
          <w:i/>
          <w:iCs/>
          <w:sz w:val="24"/>
          <w:szCs w:val="24"/>
        </w:rPr>
      </w:pPr>
      <w:r w:rsidRPr="00103958">
        <w:rPr>
          <w:rFonts w:ascii="Times New Roman" w:hAnsi="Times New Roman" w:cs="Times New Roman"/>
          <w:i/>
          <w:iCs/>
          <w:sz w:val="24"/>
          <w:szCs w:val="24"/>
        </w:rPr>
        <w:t xml:space="preserve">Blood transfusion is a medical procedure that requires strict adherence to standard operating procedures (SOPs) to prevent transfusion reactions and ensure patient safety. Non-compliance by healthcare staff may increase the risk of procedural errors and adverse effects. This study aimed to </w:t>
      </w:r>
      <w:proofErr w:type="spellStart"/>
      <w:r w:rsidRPr="00103958">
        <w:rPr>
          <w:rFonts w:ascii="Times New Roman" w:hAnsi="Times New Roman" w:cs="Times New Roman"/>
          <w:i/>
          <w:iCs/>
          <w:sz w:val="24"/>
          <w:szCs w:val="24"/>
        </w:rPr>
        <w:t>analyze</w:t>
      </w:r>
      <w:proofErr w:type="spellEnd"/>
      <w:r w:rsidRPr="00103958">
        <w:rPr>
          <w:rFonts w:ascii="Times New Roman" w:hAnsi="Times New Roman" w:cs="Times New Roman"/>
          <w:i/>
          <w:iCs/>
          <w:sz w:val="24"/>
          <w:szCs w:val="24"/>
        </w:rPr>
        <w:t xml:space="preserve"> the relationship between staff compliance with blood transfusion SOP and the level of patient transfusion safety at Tabanan</w:t>
      </w:r>
      <w:r>
        <w:rPr>
          <w:rFonts w:ascii="Times New Roman" w:hAnsi="Times New Roman" w:cs="Times New Roman"/>
          <w:i/>
          <w:iCs/>
          <w:sz w:val="24"/>
          <w:szCs w:val="24"/>
        </w:rPr>
        <w:t xml:space="preserve"> Regional General</w:t>
      </w:r>
      <w:r w:rsidRPr="00103958">
        <w:rPr>
          <w:rFonts w:ascii="Times New Roman" w:hAnsi="Times New Roman" w:cs="Times New Roman"/>
          <w:i/>
          <w:iCs/>
          <w:sz w:val="24"/>
          <w:szCs w:val="24"/>
        </w:rPr>
        <w:t xml:space="preserve"> Hospital. This study employed an analytic observational design with a cross-sectional approach, involving 45 staff members who were directly involved in the blood transfusion process. Compliance data were collected using questionnaires, while transfusion safety was assessed based on recorded transfusion reactions. Statistical analysis was performed using the </w:t>
      </w:r>
      <w:r>
        <w:rPr>
          <w:rFonts w:ascii="Times New Roman" w:hAnsi="Times New Roman" w:cs="Times New Roman"/>
          <w:i/>
          <w:iCs/>
          <w:sz w:val="24"/>
          <w:szCs w:val="24"/>
        </w:rPr>
        <w:t xml:space="preserve">Fisher’s Exact Test </w:t>
      </w:r>
      <w:proofErr w:type="spellStart"/>
      <w:r w:rsidRPr="00103958">
        <w:rPr>
          <w:rFonts w:ascii="Times New Roman" w:hAnsi="Times New Roman" w:cs="Times New Roman"/>
          <w:i/>
          <w:iCs/>
          <w:sz w:val="24"/>
          <w:szCs w:val="24"/>
        </w:rPr>
        <w:t>test</w:t>
      </w:r>
      <w:proofErr w:type="spellEnd"/>
      <w:r w:rsidRPr="00103958">
        <w:rPr>
          <w:rFonts w:ascii="Times New Roman" w:hAnsi="Times New Roman" w:cs="Times New Roman"/>
          <w:i/>
          <w:iCs/>
          <w:sz w:val="24"/>
          <w:szCs w:val="24"/>
        </w:rPr>
        <w:t xml:space="preserve"> with a significance level of 0.05. The results showed that the majority of staff demonstrated a high level of compliance with the SOP, with 44 respondents (97.8%). Regarding transfusion safety, 44 patients (97.8%) were categorized as safe (no transfusion reactions). The statistical analysis</w:t>
      </w:r>
      <w:r>
        <w:rPr>
          <w:rFonts w:ascii="Times New Roman" w:hAnsi="Times New Roman" w:cs="Times New Roman"/>
          <w:i/>
          <w:iCs/>
          <w:sz w:val="24"/>
          <w:szCs w:val="24"/>
        </w:rPr>
        <w:t xml:space="preserve"> with Fisher’s Exact Test</w:t>
      </w:r>
      <w:r w:rsidRPr="00103958">
        <w:rPr>
          <w:rFonts w:ascii="Times New Roman" w:hAnsi="Times New Roman" w:cs="Times New Roman"/>
          <w:i/>
          <w:iCs/>
          <w:sz w:val="24"/>
          <w:szCs w:val="24"/>
        </w:rPr>
        <w:t xml:space="preserve"> yielded a p-value of 0.022 (p &lt; 0.05), indicating a significant relationship between staff compliance with blood transfusion SOP and the level of patient transfusion safety at Tabanan</w:t>
      </w:r>
      <w:r>
        <w:rPr>
          <w:rFonts w:ascii="Times New Roman" w:hAnsi="Times New Roman" w:cs="Times New Roman"/>
          <w:i/>
          <w:iCs/>
          <w:sz w:val="24"/>
          <w:szCs w:val="24"/>
        </w:rPr>
        <w:t xml:space="preserve"> Regional General</w:t>
      </w:r>
      <w:r w:rsidRPr="00103958">
        <w:rPr>
          <w:rFonts w:ascii="Times New Roman" w:hAnsi="Times New Roman" w:cs="Times New Roman"/>
          <w:i/>
          <w:iCs/>
          <w:sz w:val="24"/>
          <w:szCs w:val="24"/>
        </w:rPr>
        <w:t xml:space="preserve"> Hospital. Higher staff compliance with blood transfusion SOP was associated with higher levels of transfusion safety. Regular monitoring, continuous training, and ongoing evaluation of SOP are necessary to maintain the quality and safety of blood transfusion services at Tabanan</w:t>
      </w:r>
      <w:r>
        <w:rPr>
          <w:rFonts w:ascii="Times New Roman" w:hAnsi="Times New Roman" w:cs="Times New Roman"/>
          <w:i/>
          <w:iCs/>
          <w:sz w:val="24"/>
          <w:szCs w:val="24"/>
        </w:rPr>
        <w:t xml:space="preserve"> Regional General</w:t>
      </w:r>
      <w:r w:rsidRPr="00103958">
        <w:rPr>
          <w:rFonts w:ascii="Times New Roman" w:hAnsi="Times New Roman" w:cs="Times New Roman"/>
          <w:i/>
          <w:iCs/>
          <w:sz w:val="24"/>
          <w:szCs w:val="24"/>
        </w:rPr>
        <w:t xml:space="preserve"> Hospital.</w:t>
      </w:r>
    </w:p>
    <w:p w14:paraId="5FDDA37F" w14:textId="77777777" w:rsidR="00750F30" w:rsidRPr="00466EE0" w:rsidRDefault="00750F30" w:rsidP="00750F30">
      <w:pPr>
        <w:tabs>
          <w:tab w:val="left" w:leader="dot" w:pos="7371"/>
          <w:tab w:val="right" w:pos="7938"/>
        </w:tabs>
        <w:jc w:val="both"/>
        <w:rPr>
          <w:rFonts w:ascii="Times New Roman" w:hAnsi="Times New Roman" w:cs="Times New Roman"/>
          <w:sz w:val="24"/>
          <w:szCs w:val="24"/>
        </w:rPr>
      </w:pPr>
      <w:r w:rsidRPr="00103958">
        <w:rPr>
          <w:rFonts w:ascii="Times New Roman" w:hAnsi="Times New Roman" w:cs="Times New Roman"/>
          <w:b/>
          <w:bCs/>
          <w:i/>
          <w:iCs/>
          <w:sz w:val="24"/>
          <w:szCs w:val="24"/>
        </w:rPr>
        <w:t>Keywords:</w:t>
      </w:r>
      <w:r w:rsidRPr="00103958">
        <w:rPr>
          <w:rFonts w:ascii="Times New Roman" w:hAnsi="Times New Roman" w:cs="Times New Roman"/>
          <w:i/>
          <w:iCs/>
          <w:sz w:val="24"/>
          <w:szCs w:val="24"/>
        </w:rPr>
        <w:t xml:space="preserve"> transfusion safety</w:t>
      </w:r>
      <w:r>
        <w:rPr>
          <w:rFonts w:ascii="Times New Roman" w:hAnsi="Times New Roman" w:cs="Times New Roman"/>
          <w:i/>
          <w:iCs/>
          <w:sz w:val="24"/>
          <w:szCs w:val="24"/>
        </w:rPr>
        <w:t xml:space="preserve">, </w:t>
      </w:r>
      <w:proofErr w:type="gramStart"/>
      <w:r w:rsidRPr="00103958">
        <w:rPr>
          <w:rFonts w:ascii="Times New Roman" w:hAnsi="Times New Roman" w:cs="Times New Roman"/>
          <w:i/>
          <w:iCs/>
          <w:sz w:val="24"/>
          <w:szCs w:val="24"/>
        </w:rPr>
        <w:t>compliance</w:t>
      </w:r>
      <w:r>
        <w:rPr>
          <w:rFonts w:ascii="Times New Roman" w:hAnsi="Times New Roman" w:cs="Times New Roman"/>
          <w:i/>
          <w:iCs/>
          <w:sz w:val="24"/>
          <w:szCs w:val="24"/>
        </w:rPr>
        <w:t xml:space="preserve">,  </w:t>
      </w:r>
      <w:r w:rsidRPr="00103958">
        <w:rPr>
          <w:rFonts w:ascii="Times New Roman" w:hAnsi="Times New Roman" w:cs="Times New Roman"/>
          <w:i/>
          <w:iCs/>
          <w:sz w:val="24"/>
          <w:szCs w:val="24"/>
        </w:rPr>
        <w:t>blood</w:t>
      </w:r>
      <w:proofErr w:type="gramEnd"/>
      <w:r w:rsidRPr="00103958">
        <w:rPr>
          <w:rFonts w:ascii="Times New Roman" w:hAnsi="Times New Roman" w:cs="Times New Roman"/>
          <w:i/>
          <w:iCs/>
          <w:sz w:val="24"/>
          <w:szCs w:val="24"/>
        </w:rPr>
        <w:t xml:space="preserve"> transfusion SOP</w:t>
      </w:r>
      <w:r>
        <w:rPr>
          <w:rFonts w:ascii="Times New Roman" w:hAnsi="Times New Roman" w:cs="Times New Roman"/>
          <w:i/>
          <w:iCs/>
          <w:sz w:val="24"/>
          <w:szCs w:val="24"/>
        </w:rPr>
        <w:t>.</w:t>
      </w:r>
    </w:p>
    <w:p w14:paraId="54D619A6" w14:textId="77777777" w:rsidR="00750F30" w:rsidRDefault="00750F30" w:rsidP="00750F30">
      <w:pPr>
        <w:tabs>
          <w:tab w:val="left" w:leader="dot" w:pos="7371"/>
          <w:tab w:val="right" w:pos="7938"/>
        </w:tabs>
        <w:jc w:val="center"/>
        <w:rPr>
          <w:rFonts w:ascii="Times New Roman" w:hAnsi="Times New Roman" w:cs="Times New Roman"/>
          <w:b/>
          <w:bCs/>
          <w:sz w:val="24"/>
          <w:szCs w:val="24"/>
          <w:lang w:val="pt-BR"/>
        </w:rPr>
      </w:pPr>
    </w:p>
    <w:p w14:paraId="34A2DF54" w14:textId="77777777" w:rsidR="00750F30" w:rsidRDefault="00750F30" w:rsidP="00750F30">
      <w:pPr>
        <w:tabs>
          <w:tab w:val="left" w:leader="dot" w:pos="7371"/>
          <w:tab w:val="right" w:pos="7938"/>
        </w:tabs>
        <w:jc w:val="center"/>
        <w:rPr>
          <w:rFonts w:ascii="Times New Roman" w:hAnsi="Times New Roman" w:cs="Times New Roman"/>
          <w:b/>
          <w:bCs/>
          <w:sz w:val="24"/>
          <w:szCs w:val="24"/>
          <w:lang w:val="pt-BR"/>
        </w:rPr>
      </w:pPr>
    </w:p>
    <w:p w14:paraId="675E742D" w14:textId="77777777" w:rsidR="00750F30" w:rsidRDefault="00750F30" w:rsidP="00750F30">
      <w:pPr>
        <w:tabs>
          <w:tab w:val="left" w:leader="dot" w:pos="7371"/>
          <w:tab w:val="right" w:pos="7938"/>
        </w:tabs>
        <w:jc w:val="center"/>
        <w:rPr>
          <w:rFonts w:ascii="Times New Roman" w:hAnsi="Times New Roman" w:cs="Times New Roman"/>
          <w:b/>
          <w:bCs/>
          <w:sz w:val="24"/>
          <w:szCs w:val="24"/>
          <w:lang w:val="pt-BR"/>
        </w:rPr>
      </w:pPr>
    </w:p>
    <w:p w14:paraId="50D15E4D" w14:textId="77777777" w:rsidR="00BF5DA3" w:rsidRDefault="00BF5DA3"/>
    <w:sectPr w:rsidR="00BF5DA3" w:rsidSect="00750F30">
      <w:footerReference w:type="default" r:id="rId6"/>
      <w:pgSz w:w="11906" w:h="16838"/>
      <w:pgMar w:top="2268" w:right="1701" w:bottom="1701" w:left="2268" w:header="708" w:footer="708"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5749" w14:textId="77777777" w:rsidR="001F616C" w:rsidRDefault="001F616C" w:rsidP="00750F30">
      <w:pPr>
        <w:spacing w:after="0" w:line="240" w:lineRule="auto"/>
      </w:pPr>
      <w:r>
        <w:separator/>
      </w:r>
    </w:p>
  </w:endnote>
  <w:endnote w:type="continuationSeparator" w:id="0">
    <w:p w14:paraId="21D88B43" w14:textId="77777777" w:rsidR="001F616C" w:rsidRDefault="001F616C" w:rsidP="0075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9332"/>
      <w:docPartObj>
        <w:docPartGallery w:val="Page Numbers (Bottom of Page)"/>
        <w:docPartUnique/>
      </w:docPartObj>
    </w:sdtPr>
    <w:sdtEndPr>
      <w:rPr>
        <w:rFonts w:ascii="Times New Roman" w:hAnsi="Times New Roman" w:cs="Times New Roman"/>
        <w:noProof/>
        <w:sz w:val="24"/>
        <w:szCs w:val="24"/>
      </w:rPr>
    </w:sdtEndPr>
    <w:sdtContent>
      <w:p w14:paraId="4F12DB1F" w14:textId="4B446264" w:rsidR="00750F30" w:rsidRPr="0048541C" w:rsidRDefault="00750F30">
        <w:pPr>
          <w:pStyle w:val="Footer"/>
          <w:jc w:val="center"/>
          <w:rPr>
            <w:rFonts w:ascii="Times New Roman" w:hAnsi="Times New Roman" w:cs="Times New Roman"/>
            <w:sz w:val="24"/>
            <w:szCs w:val="24"/>
          </w:rPr>
        </w:pPr>
        <w:r>
          <w:rPr>
            <w:rFonts w:ascii="Times New Roman" w:hAnsi="Times New Roman" w:cs="Times New Roman"/>
            <w:sz w:val="24"/>
            <w:szCs w:val="24"/>
          </w:rPr>
          <w:t>ix</w:t>
        </w:r>
      </w:p>
    </w:sdtContent>
  </w:sdt>
  <w:p w14:paraId="216D069C" w14:textId="77777777" w:rsidR="00750F30" w:rsidRDefault="0075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9CF3" w14:textId="77777777" w:rsidR="001F616C" w:rsidRDefault="001F616C" w:rsidP="00750F30">
      <w:pPr>
        <w:spacing w:after="0" w:line="240" w:lineRule="auto"/>
      </w:pPr>
      <w:r>
        <w:separator/>
      </w:r>
    </w:p>
  </w:footnote>
  <w:footnote w:type="continuationSeparator" w:id="0">
    <w:p w14:paraId="793D00F9" w14:textId="77777777" w:rsidR="001F616C" w:rsidRDefault="001F616C" w:rsidP="00750F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30"/>
    <w:rsid w:val="001F616C"/>
    <w:rsid w:val="005A4D54"/>
    <w:rsid w:val="00750F30"/>
    <w:rsid w:val="00B2567C"/>
    <w:rsid w:val="00BF5DA3"/>
    <w:rsid w:val="00E1317E"/>
    <w:rsid w:val="00E537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6E53"/>
  <w15:chartTrackingRefBased/>
  <w15:docId w15:val="{EEC3D933-7A46-41F3-8A72-8F1D6EB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30"/>
  </w:style>
  <w:style w:type="paragraph" w:styleId="Heading1">
    <w:name w:val="heading 1"/>
    <w:basedOn w:val="Normal"/>
    <w:next w:val="Normal"/>
    <w:link w:val="Heading1Char"/>
    <w:uiPriority w:val="9"/>
    <w:qFormat/>
    <w:rsid w:val="00750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F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F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F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F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F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F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F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F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F30"/>
    <w:rPr>
      <w:rFonts w:eastAsiaTheme="majorEastAsia" w:cstheme="majorBidi"/>
      <w:color w:val="272727" w:themeColor="text1" w:themeTint="D8"/>
    </w:rPr>
  </w:style>
  <w:style w:type="paragraph" w:styleId="Title">
    <w:name w:val="Title"/>
    <w:basedOn w:val="Normal"/>
    <w:next w:val="Normal"/>
    <w:link w:val="TitleChar"/>
    <w:uiPriority w:val="10"/>
    <w:qFormat/>
    <w:rsid w:val="00750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F30"/>
    <w:pPr>
      <w:spacing w:before="160"/>
      <w:jc w:val="center"/>
    </w:pPr>
    <w:rPr>
      <w:i/>
      <w:iCs/>
      <w:color w:val="404040" w:themeColor="text1" w:themeTint="BF"/>
    </w:rPr>
  </w:style>
  <w:style w:type="character" w:customStyle="1" w:styleId="QuoteChar">
    <w:name w:val="Quote Char"/>
    <w:basedOn w:val="DefaultParagraphFont"/>
    <w:link w:val="Quote"/>
    <w:uiPriority w:val="29"/>
    <w:rsid w:val="00750F30"/>
    <w:rPr>
      <w:i/>
      <w:iCs/>
      <w:color w:val="404040" w:themeColor="text1" w:themeTint="BF"/>
    </w:rPr>
  </w:style>
  <w:style w:type="paragraph" w:styleId="ListParagraph">
    <w:name w:val="List Paragraph"/>
    <w:basedOn w:val="Normal"/>
    <w:uiPriority w:val="34"/>
    <w:qFormat/>
    <w:rsid w:val="00750F30"/>
    <w:pPr>
      <w:ind w:left="720"/>
      <w:contextualSpacing/>
    </w:pPr>
  </w:style>
  <w:style w:type="character" w:styleId="IntenseEmphasis">
    <w:name w:val="Intense Emphasis"/>
    <w:basedOn w:val="DefaultParagraphFont"/>
    <w:uiPriority w:val="21"/>
    <w:qFormat/>
    <w:rsid w:val="00750F30"/>
    <w:rPr>
      <w:i/>
      <w:iCs/>
      <w:color w:val="2F5496" w:themeColor="accent1" w:themeShade="BF"/>
    </w:rPr>
  </w:style>
  <w:style w:type="paragraph" w:styleId="IntenseQuote">
    <w:name w:val="Intense Quote"/>
    <w:basedOn w:val="Normal"/>
    <w:next w:val="Normal"/>
    <w:link w:val="IntenseQuoteChar"/>
    <w:uiPriority w:val="30"/>
    <w:qFormat/>
    <w:rsid w:val="00750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F30"/>
    <w:rPr>
      <w:i/>
      <w:iCs/>
      <w:color w:val="2F5496" w:themeColor="accent1" w:themeShade="BF"/>
    </w:rPr>
  </w:style>
  <w:style w:type="character" w:styleId="IntenseReference">
    <w:name w:val="Intense Reference"/>
    <w:basedOn w:val="DefaultParagraphFont"/>
    <w:uiPriority w:val="32"/>
    <w:qFormat/>
    <w:rsid w:val="00750F30"/>
    <w:rPr>
      <w:b/>
      <w:bCs/>
      <w:smallCaps/>
      <w:color w:val="2F5496" w:themeColor="accent1" w:themeShade="BF"/>
      <w:spacing w:val="5"/>
    </w:rPr>
  </w:style>
  <w:style w:type="paragraph" w:styleId="Footer">
    <w:name w:val="footer"/>
    <w:basedOn w:val="Normal"/>
    <w:link w:val="FooterChar"/>
    <w:uiPriority w:val="99"/>
    <w:unhideWhenUsed/>
    <w:rsid w:val="00750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F30"/>
  </w:style>
  <w:style w:type="paragraph" w:styleId="Header">
    <w:name w:val="header"/>
    <w:basedOn w:val="Normal"/>
    <w:link w:val="HeaderChar"/>
    <w:uiPriority w:val="99"/>
    <w:unhideWhenUsed/>
    <w:rsid w:val="00750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nyoman sukarya</dc:creator>
  <cp:keywords/>
  <dc:description/>
  <cp:lastModifiedBy>ni nyoman sukarya</cp:lastModifiedBy>
  <cp:revision>1</cp:revision>
  <dcterms:created xsi:type="dcterms:W3CDTF">2026-03-06T14:03:00Z</dcterms:created>
  <dcterms:modified xsi:type="dcterms:W3CDTF">2026-03-06T14:04:00Z</dcterms:modified>
</cp:coreProperties>
</file>