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EDCDE" w14:textId="77777777" w:rsidR="008063CD" w:rsidRDefault="008063CD" w:rsidP="008063CD">
      <w:pPr>
        <w:pStyle w:val="Heading1"/>
        <w:jc w:val="center"/>
        <w:rPr>
          <w:lang w:val="en-US"/>
        </w:rPr>
      </w:pPr>
      <w:bookmarkStart w:id="0" w:name="_Toc226361316"/>
      <w:r w:rsidRPr="00A76F3D">
        <w:rPr>
          <w:sz w:val="28"/>
          <w:szCs w:val="36"/>
          <w:lang w:val="en-US"/>
        </w:rPr>
        <w:t>DAFTAR PUSTAKA</w:t>
      </w:r>
      <w:bookmarkEnd w:id="0"/>
    </w:p>
    <w:p w14:paraId="345BE77F" w14:textId="77777777" w:rsidR="008063CD" w:rsidRDefault="008063CD" w:rsidP="008063CD">
      <w:pPr>
        <w:ind w:left="2160" w:hanging="2160"/>
        <w:jc w:val="both"/>
        <w:rPr>
          <w:lang w:val="en-US"/>
        </w:rPr>
      </w:pPr>
    </w:p>
    <w:p w14:paraId="44CCCB7A"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B2696F">
        <w:rPr>
          <w:rFonts w:cs="Times New Roman"/>
          <w:noProof/>
          <w:szCs w:val="24"/>
        </w:rPr>
        <w:t xml:space="preserve">Adiputra., E. a. (2021) </w:t>
      </w:r>
      <w:r w:rsidRPr="00B2696F">
        <w:rPr>
          <w:rFonts w:cs="Times New Roman"/>
          <w:i/>
          <w:iCs/>
          <w:noProof/>
          <w:szCs w:val="24"/>
        </w:rPr>
        <w:t>Metodologi Penelitian Kesehatan</w:t>
      </w:r>
      <w:r w:rsidRPr="00B2696F">
        <w:rPr>
          <w:rFonts w:cs="Times New Roman"/>
          <w:noProof/>
          <w:szCs w:val="24"/>
        </w:rPr>
        <w:t>.</w:t>
      </w:r>
    </w:p>
    <w:p w14:paraId="7FA6E713"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Agsari, A.L. </w:t>
      </w:r>
      <w:r w:rsidRPr="00B2696F">
        <w:rPr>
          <w:rFonts w:cs="Times New Roman"/>
          <w:i/>
          <w:iCs/>
          <w:noProof/>
          <w:szCs w:val="24"/>
        </w:rPr>
        <w:t>et al.</w:t>
      </w:r>
      <w:r w:rsidRPr="00B2696F">
        <w:rPr>
          <w:rFonts w:cs="Times New Roman"/>
          <w:noProof/>
          <w:szCs w:val="24"/>
        </w:rPr>
        <w:t xml:space="preserve"> (2024) ‘Persepsi Pengguna Pada SIMRS Medify Berdasarkan Model DeLone dan McLean’, 5(4), pp. 373–380. Available at: https://doi.org/10.25047/j-remi.v5i4.4636.</w:t>
      </w:r>
    </w:p>
    <w:p w14:paraId="40FBC95A"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Ananda, D. </w:t>
      </w:r>
      <w:r w:rsidRPr="00B2696F">
        <w:rPr>
          <w:rFonts w:cs="Times New Roman"/>
          <w:i/>
          <w:iCs/>
          <w:noProof/>
          <w:szCs w:val="24"/>
        </w:rPr>
        <w:t>et al.</w:t>
      </w:r>
      <w:r w:rsidRPr="00B2696F">
        <w:rPr>
          <w:rFonts w:cs="Times New Roman"/>
          <w:noProof/>
          <w:szCs w:val="24"/>
        </w:rPr>
        <w:t xml:space="preserve"> (2024) ‘Analisis Kelengkapan dan Keakuratan Data Rekam Medis Elektronik di Puskesmas X Surabaya’, 12(1), pp. 72–77.</w:t>
      </w:r>
    </w:p>
    <w:p w14:paraId="16684881"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Ariani, S. (2023) ‘Analisis Keberhasilan Implementasi Rekam Medis Elektronik Dalam Meningkatkan Efisiensi Dan Mutu Pelayanan’, </w:t>
      </w:r>
      <w:r w:rsidRPr="00B2696F">
        <w:rPr>
          <w:rFonts w:cs="Times New Roman"/>
          <w:i/>
          <w:iCs/>
          <w:noProof/>
          <w:szCs w:val="24"/>
        </w:rPr>
        <w:t>Jurnal Kesehatan dan Kedokteran</w:t>
      </w:r>
      <w:r w:rsidRPr="00B2696F">
        <w:rPr>
          <w:rFonts w:cs="Times New Roman"/>
          <w:noProof/>
          <w:szCs w:val="24"/>
        </w:rPr>
        <w:t>, 2(2), pp. 7–14. Available at: https://doi.org/10.56127/jukeke.v2i2.720.</w:t>
      </w:r>
    </w:p>
    <w:p w14:paraId="39B2494A"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Astuti, N.D. and Fahyudi, A. (2023) ‘Kepuasan Pengguna Sistem Informasi Rekam Medis Elektronik RSUD Tugurejo’, </w:t>
      </w:r>
      <w:r w:rsidRPr="00B2696F">
        <w:rPr>
          <w:rFonts w:cs="Times New Roman"/>
          <w:i/>
          <w:iCs/>
          <w:noProof/>
          <w:szCs w:val="24"/>
        </w:rPr>
        <w:t>Jurnal Manajemen Kesehatan Indonesia</w:t>
      </w:r>
      <w:r w:rsidRPr="00B2696F">
        <w:rPr>
          <w:rFonts w:cs="Times New Roman"/>
          <w:noProof/>
          <w:szCs w:val="24"/>
        </w:rPr>
        <w:t>, 11(3), pp. 289–297. Available at: https://doi.org/10.14710/jmki.11.3.2023.289-297.</w:t>
      </w:r>
    </w:p>
    <w:p w14:paraId="07B28037"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Cahyani, M.B. </w:t>
      </w:r>
      <w:r w:rsidRPr="00B2696F">
        <w:rPr>
          <w:rFonts w:cs="Times New Roman"/>
          <w:i/>
          <w:iCs/>
          <w:noProof/>
          <w:szCs w:val="24"/>
        </w:rPr>
        <w:t>et al.</w:t>
      </w:r>
      <w:r w:rsidRPr="00B2696F">
        <w:rPr>
          <w:rFonts w:cs="Times New Roman"/>
          <w:noProof/>
          <w:szCs w:val="24"/>
        </w:rPr>
        <w:t xml:space="preserve"> (2024) ‘Tinjauan Literatur : Peran Rekam Medis Berbasis Elektronik Terhadap Pelayanan Kesehatan’, pp. 155–159. Available at: https://doi.org/10.33560/jmiki.v12i2.648.</w:t>
      </w:r>
    </w:p>
    <w:p w14:paraId="65ED79C5"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DeLone, W.H. and McLean, E.R. (2003) ‘The DeLone and McLean model of information systems success: A ten-year update’, </w:t>
      </w:r>
      <w:r w:rsidRPr="00B2696F">
        <w:rPr>
          <w:rFonts w:cs="Times New Roman"/>
          <w:i/>
          <w:iCs/>
          <w:noProof/>
          <w:szCs w:val="24"/>
        </w:rPr>
        <w:t>Journal of Management Information Systems</w:t>
      </w:r>
      <w:r w:rsidRPr="00B2696F">
        <w:rPr>
          <w:rFonts w:cs="Times New Roman"/>
          <w:noProof/>
          <w:szCs w:val="24"/>
        </w:rPr>
        <w:t>, 19(4), pp. 9–30. Available at: https://doi.org/10.1080/07421222.2003.11045748.</w:t>
      </w:r>
    </w:p>
    <w:p w14:paraId="626578D2"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Dicky Zulkarnain Rona Gah, A.H.S. (2021) ‘Pengaruh Pengalaman Kerja dan Kemampuan Kerja Terhadap Kinerja Karyawan di Balai Latihan Masyarakat Makassar’, </w:t>
      </w:r>
      <w:r w:rsidRPr="00B2696F">
        <w:rPr>
          <w:rFonts w:cs="Times New Roman"/>
          <w:i/>
          <w:iCs/>
          <w:noProof/>
          <w:szCs w:val="24"/>
        </w:rPr>
        <w:t>Jurnal Mirai Manajemen</w:t>
      </w:r>
      <w:r w:rsidRPr="00B2696F">
        <w:rPr>
          <w:rFonts w:cs="Times New Roman"/>
          <w:noProof/>
          <w:szCs w:val="24"/>
        </w:rPr>
        <w:t>, 6(2), pp. 123–136. Available at: http://journal.feb.unmul.ac.id/index.php/JIMM/article/view/1310.</w:t>
      </w:r>
    </w:p>
    <w:p w14:paraId="69D8EC99"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HK.1.07/MENKES/312/, K.R.N. (2020) ‘KEPUTUSAN MENTERI KESEHATAN REPUBLIK INDONESIA NOMOR : HK.01.07/MENKES/312/2020 TENTANG STANDAR PROFESI PEREKAM MEDIS DAN INFORMASI KESEHATAN’, 2, pp. 1–9.</w:t>
      </w:r>
    </w:p>
    <w:p w14:paraId="41F9A164"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Husada, I. </w:t>
      </w:r>
      <w:r w:rsidRPr="00B2696F">
        <w:rPr>
          <w:rFonts w:cs="Times New Roman"/>
          <w:i/>
          <w:iCs/>
          <w:noProof/>
          <w:szCs w:val="24"/>
        </w:rPr>
        <w:t>et al.</w:t>
      </w:r>
      <w:r w:rsidRPr="00B2696F">
        <w:rPr>
          <w:rFonts w:cs="Times New Roman"/>
          <w:noProof/>
          <w:szCs w:val="24"/>
        </w:rPr>
        <w:t xml:space="preserve"> (2025) ‘KEPUASAN PENGGUNA DI RUMAH SAKIT CIREMAI KOTA CIREBON TAHUN 2025 THE RELATIONSHIP BETWEEN ELECTRONIC MEDICAL RECORDS IMPLEMENTATION AND USERS SATISFACTION AT CIREMAI HOSPITAL CIREBON CITY IN 2025 1 , 2 , 3 , 4 Study Program of Medical Records and Health Information Ministry of Health of Indonesian Republic Health Polytechnic of Tasikmalaya Correspondent email : mmirsanda@gmail.com Pendahuluan Kemajuan teknologi informasi di Indonesia telah mendorong transformasi kesehatan menuju digitalisasi , di mana digitalisasi menjadi landasan bagi pengembangan sistem kesehatan yang lebih modern dan efisien ( Amin , Setyonugroho dan Hidayah 2021 ). Digitalisasi ini mencakup adopsi teknologi informasi untuk meningkatkan akses , efisiensi , dan kualitas pelayanan kesehatan , termasuk pengelolaan data pasien dan integrasi antar fasilitas kesehatan ( Ningsih et al . 2022 ). Salah satu elemen </w:t>
      </w:r>
      <w:r w:rsidRPr="00B2696F">
        <w:rPr>
          <w:rFonts w:cs="Times New Roman"/>
          <w:noProof/>
          <w:szCs w:val="24"/>
        </w:rPr>
        <w:lastRenderedPageBreak/>
        <w:t>kunci dalam digitalisasi ini adalah implementasi RME , yang memungkinkan pencatatan , penyimpanan , dan pengelolaan data medis pasien secara digital ( Herfiyanti dan Febriana 2023 ). Melalui ( Menteri Kesehatan Republik Indonesia 2022 ) ditetapkan bahwa paling lambat 31 Desember 2023 , seluruh RME yang dimiliki oleh setiap fasyankes harus terhubung ke platform SATUSEHAT sesuai dengan standar data dan sistem yang ditetapkan oleh Kementerian Kesehatan .’, 13(2), pp. 235–246.</w:t>
      </w:r>
    </w:p>
    <w:p w14:paraId="20B1642E"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Irmawati </w:t>
      </w:r>
      <w:r w:rsidRPr="00B2696F">
        <w:rPr>
          <w:rFonts w:cs="Times New Roman"/>
          <w:i/>
          <w:iCs/>
          <w:noProof/>
          <w:szCs w:val="24"/>
        </w:rPr>
        <w:t>et al.</w:t>
      </w:r>
      <w:r w:rsidRPr="00B2696F">
        <w:rPr>
          <w:rFonts w:cs="Times New Roman"/>
          <w:noProof/>
          <w:szCs w:val="24"/>
        </w:rPr>
        <w:t xml:space="preserve"> (2024) ‘Analisis Kinerja Unit Rekam Medis Berdasarkan Standar Kompetensi PMIK di Rumah Sakit Wilayah Sulawesi Selatan Analysis of Medical Record Unit Performance Based on PMIK Competency Standards in Hospitals in the South Sulawesi Region Elise Garmelia</w:t>
      </w:r>
      <w:r w:rsidRPr="00B2696F">
        <w:rPr>
          <w:rFonts w:cs="Times New Roman"/>
          <w:noProof/>
          <w:szCs w:val="24"/>
          <w:vertAlign w:val="superscript"/>
        </w:rPr>
        <w:t>2</w:t>
      </w:r>
      <w:r w:rsidRPr="00B2696F">
        <w:rPr>
          <w:rFonts w:cs="Times New Roman"/>
          <w:noProof/>
          <w:szCs w:val="24"/>
        </w:rPr>
        <w:t xml:space="preserve"> Zefan Ad’, 7(1), pp. 70–77.</w:t>
      </w:r>
    </w:p>
    <w:p w14:paraId="505CECEF"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Istia, S.M. (2025) ‘Karya tulis ilmiah gambaran tingkat kepuasan tenaga kesehatan tentang penerapan rekam medis elektronik di rsud wangaya kota denpasar’.</w:t>
      </w:r>
    </w:p>
    <w:p w14:paraId="17FA7DD2"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Kemenkes RI, P.R.N.; H. 01. 07/MENKES/312/202. T.S.P.P.M.D.I.K. (2020) ‘PERATURAN MENTRI KESEHATAN’, </w:t>
      </w:r>
      <w:r w:rsidRPr="00B2696F">
        <w:rPr>
          <w:rFonts w:cs="Times New Roman"/>
          <w:i/>
          <w:iCs/>
          <w:noProof/>
          <w:szCs w:val="24"/>
        </w:rPr>
        <w:t>KEMENTRIAN KESEHATAN RI</w:t>
      </w:r>
      <w:r w:rsidRPr="00B2696F">
        <w:rPr>
          <w:rFonts w:cs="Times New Roman"/>
          <w:noProof/>
          <w:szCs w:val="24"/>
        </w:rPr>
        <w:t>, 8(75), pp. 147–154. Available at: https://paralegal.id/peraturan/keputusan-menteri-kesehatan-nomor-hk-01-07-menkes-312-2020/.</w:t>
      </w:r>
    </w:p>
    <w:p w14:paraId="7FB99177"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Kesehatan, F., Jenderal, U. and Yani, A. (2025) ‘Evaluasi Penerapan Sistem Informasi Manajemen Puskesmas ( SIMPUS ) Menggunakan Model DeLone McLean di Puskesmas Mlati II’, 13(2), pp. 142–150.</w:t>
      </w:r>
    </w:p>
    <w:p w14:paraId="0D0E7A92"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Meilani, H., Nugraheni, S.W. and Suprawita, B. (2025) ‘Amelinda Helsa Meilani, 2 Sri Wahyuningsih Nugraheni*, 3 Budi Suprawita’, 15(2), pp. 158–164.</w:t>
      </w:r>
    </w:p>
    <w:p w14:paraId="7F80DBB9"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Nabila, S. </w:t>
      </w:r>
      <w:r w:rsidRPr="00B2696F">
        <w:rPr>
          <w:rFonts w:cs="Times New Roman"/>
          <w:i/>
          <w:iCs/>
          <w:noProof/>
          <w:szCs w:val="24"/>
        </w:rPr>
        <w:t>et al.</w:t>
      </w:r>
      <w:r w:rsidRPr="00B2696F">
        <w:rPr>
          <w:rFonts w:cs="Times New Roman"/>
          <w:noProof/>
          <w:szCs w:val="24"/>
        </w:rPr>
        <w:t xml:space="preserve"> (2023) ‘Jurnal Indonesia : Manajemen Informatika dan Komunikasi Jurnal Indonesia : Manajemen Informatika dan Komunikasi’, 4(3), pp. 1541–1549.</w:t>
      </w:r>
    </w:p>
    <w:p w14:paraId="0D7A3A40"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Nelson, R.R., Todd, P.A. and Wixom, B.H. (2005) ‘Antecedents of information and system quality: An empirical examination within the context of data warehousing’, </w:t>
      </w:r>
      <w:r w:rsidRPr="00B2696F">
        <w:rPr>
          <w:rFonts w:cs="Times New Roman"/>
          <w:i/>
          <w:iCs/>
          <w:noProof/>
          <w:szCs w:val="24"/>
        </w:rPr>
        <w:t>Journal of Management Information Systems</w:t>
      </w:r>
      <w:r w:rsidRPr="00B2696F">
        <w:rPr>
          <w:rFonts w:cs="Times New Roman"/>
          <w:noProof/>
          <w:szCs w:val="24"/>
        </w:rPr>
        <w:t>, 21(4), pp. 199–235. Available at: https://doi.org/10.1080/07421222.2005.11045823.</w:t>
      </w:r>
    </w:p>
    <w:p w14:paraId="25196E69"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Nurfitria, B.R. (2024) ‘Implementasi Rekam Medis Elektronik di Institusi Pelayanan Kesehatan di Indonesia’, </w:t>
      </w:r>
      <w:r w:rsidRPr="00B2696F">
        <w:rPr>
          <w:rFonts w:cs="Times New Roman"/>
          <w:i/>
          <w:iCs/>
          <w:noProof/>
          <w:szCs w:val="24"/>
        </w:rPr>
        <w:t>Jurnal Insan Cendekia</w:t>
      </w:r>
      <w:r w:rsidRPr="00B2696F">
        <w:rPr>
          <w:rFonts w:cs="Times New Roman"/>
          <w:noProof/>
          <w:szCs w:val="24"/>
        </w:rPr>
        <w:t>, 11(1), pp. 80–91.</w:t>
      </w:r>
    </w:p>
    <w:p w14:paraId="5BAD7EB8"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Nurhaswinda, N. </w:t>
      </w:r>
      <w:r w:rsidRPr="00B2696F">
        <w:rPr>
          <w:rFonts w:cs="Times New Roman"/>
          <w:i/>
          <w:iCs/>
          <w:noProof/>
          <w:szCs w:val="24"/>
        </w:rPr>
        <w:t>et al.</w:t>
      </w:r>
      <w:r w:rsidRPr="00B2696F">
        <w:rPr>
          <w:rFonts w:cs="Times New Roman"/>
          <w:noProof/>
          <w:szCs w:val="24"/>
        </w:rPr>
        <w:t xml:space="preserve"> (2025) ‘Fakultas Keguruan dan Ilmu Pendidikan, Universitas Pahlawan Tuanku Tambusai, Kampar, Riau,Indonesia’, </w:t>
      </w:r>
      <w:r w:rsidRPr="00B2696F">
        <w:rPr>
          <w:rFonts w:cs="Times New Roman"/>
          <w:i/>
          <w:iCs/>
          <w:noProof/>
          <w:szCs w:val="24"/>
        </w:rPr>
        <w:t>Jurnal Inovasi dan TrenFakultas Keguruan dan Ilmu Pendidikan, Universitas Pahlawan Tuanku Tambusai, Kampar, Riau, Indonesia</w:t>
      </w:r>
      <w:r w:rsidRPr="00B2696F">
        <w:rPr>
          <w:rFonts w:cs="Times New Roman"/>
          <w:noProof/>
          <w:szCs w:val="24"/>
        </w:rPr>
        <w:t>, 3(1), pp. 59–68. Available at: https://journal.lembagakita.org/ljit/article/view/3709.</w:t>
      </w:r>
    </w:p>
    <w:p w14:paraId="29E34B1C"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Nurrisa, F. and Hermina, D. (2025) ‘Pendekatan Kualitatif dalam Penelitian : Strategi , Tahapan , dan Analisis Data Jurnal Teknologi Pendidikan Dan Pembelajaran ( JTPP )’, 02(03), pp. 793–800.</w:t>
      </w:r>
    </w:p>
    <w:p w14:paraId="0FC54B17"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Parwita, G., Prastyadewi, M. and Saraswati, I. (2023) ‘7.+Gde+Bayu+Surya+Parwita,+Made+Ika+Prastyadewi,+Ida+Ayu+Nyoman+Tri+Saraswati’, </w:t>
      </w:r>
      <w:r w:rsidRPr="00B2696F">
        <w:rPr>
          <w:rFonts w:cs="Times New Roman"/>
          <w:i/>
          <w:iCs/>
          <w:noProof/>
          <w:szCs w:val="24"/>
        </w:rPr>
        <w:t>Pengaruh Lingkungan Kerja, Pengalaman Kerja Dan Kompensasi Terhadap Kinerja Karyawan Cv. Dian Mandiri</w:t>
      </w:r>
      <w:r w:rsidRPr="00B2696F">
        <w:rPr>
          <w:rFonts w:cs="Times New Roman"/>
          <w:noProof/>
          <w:szCs w:val="24"/>
        </w:rPr>
        <w:t>, 4(1), pp. 69–81.</w:t>
      </w:r>
    </w:p>
    <w:p w14:paraId="1EDE63A2"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Permenkes No. 24 (2022) ‘Peraturan Menteri Kesehatan RI No 24 tahun 2022 </w:t>
      </w:r>
      <w:r w:rsidRPr="00B2696F">
        <w:rPr>
          <w:rFonts w:cs="Times New Roman"/>
          <w:noProof/>
          <w:szCs w:val="24"/>
        </w:rPr>
        <w:lastRenderedPageBreak/>
        <w:t xml:space="preserve">tentang Rekam Medis’, </w:t>
      </w:r>
      <w:r w:rsidRPr="00B2696F">
        <w:rPr>
          <w:rFonts w:cs="Times New Roman"/>
          <w:i/>
          <w:iCs/>
          <w:noProof/>
          <w:szCs w:val="24"/>
        </w:rPr>
        <w:t>Peraturan Menteri Kesehatan Republik Indonesia Nomor 24 Tahun 2022</w:t>
      </w:r>
      <w:r w:rsidRPr="00B2696F">
        <w:rPr>
          <w:rFonts w:cs="Times New Roman"/>
          <w:noProof/>
          <w:szCs w:val="24"/>
        </w:rPr>
        <w:t>, 151(2), pp. 1–19.</w:t>
      </w:r>
    </w:p>
    <w:p w14:paraId="54A1131E"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PORMIKI DPD DKI JAKARTA (2018) ‘Kode Etik Perekam Medis dan Informasi Kesehatan. Hasil Sidang Komisi B pada Kongres ke-IX PORMIKI’, pp. 2–3.</w:t>
      </w:r>
    </w:p>
    <w:p w14:paraId="42675ADD"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Putra, S., Syahran Jailani, M. and Hakim Nasution, F. (2021) ‘Penerapan Prinsip Dasar Etika Penelitian Ilmiah daun kersen’, </w:t>
      </w:r>
      <w:r w:rsidRPr="00B2696F">
        <w:rPr>
          <w:rFonts w:cs="Times New Roman"/>
          <w:i/>
          <w:iCs/>
          <w:noProof/>
          <w:szCs w:val="24"/>
        </w:rPr>
        <w:t>Jurnal Pendidikan Tambusai</w:t>
      </w:r>
      <w:r w:rsidRPr="00B2696F">
        <w:rPr>
          <w:rFonts w:cs="Times New Roman"/>
          <w:noProof/>
          <w:szCs w:val="24"/>
        </w:rPr>
        <w:t>, 7(3), pp. 27876–27881.</w:t>
      </w:r>
    </w:p>
    <w:p w14:paraId="12159885"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Raya, I.P. and Raya, I.P. (2021) ‘Memahami Teknik Pengolahan dan Analisis Data Kualitatif’, 1, pp. 173–186.</w:t>
      </w:r>
    </w:p>
    <w:p w14:paraId="6188DDB0"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Rizqulloh, L. and Putra, A.N. (2024) ‘Kepuasan Pengguna Rekam Medis Elektronik Melalui Pendekatan EUCS di RSI Sultan Agung’, </w:t>
      </w:r>
      <w:r w:rsidRPr="00B2696F">
        <w:rPr>
          <w:rFonts w:cs="Times New Roman"/>
          <w:i/>
          <w:iCs/>
          <w:noProof/>
          <w:szCs w:val="24"/>
        </w:rPr>
        <w:t>J-REMI : Jurnal Rekam Medik dan Informasi Kesehatan</w:t>
      </w:r>
      <w:r w:rsidRPr="00B2696F">
        <w:rPr>
          <w:rFonts w:cs="Times New Roman"/>
          <w:noProof/>
          <w:szCs w:val="24"/>
        </w:rPr>
        <w:t>, 5(4), pp. 330–344. Available at: https://doi.org/10.25047/j-remi.v5i4.5105.</w:t>
      </w:r>
    </w:p>
    <w:p w14:paraId="5AAD8BB1"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Saryadi Saryadi </w:t>
      </w:r>
      <w:r w:rsidRPr="00B2696F">
        <w:rPr>
          <w:rFonts w:cs="Times New Roman"/>
          <w:i/>
          <w:iCs/>
          <w:noProof/>
          <w:szCs w:val="24"/>
        </w:rPr>
        <w:t>et al.</w:t>
      </w:r>
      <w:r w:rsidRPr="00B2696F">
        <w:rPr>
          <w:rFonts w:cs="Times New Roman"/>
          <w:noProof/>
          <w:szCs w:val="24"/>
        </w:rPr>
        <w:t xml:space="preserve"> (2025) ‘Analisis Kepuasan PMIK Terhadap Implementasi Rekam Medis Elektronik dengan Metode EUCS di RSUD Dr. Moewardi’, </w:t>
      </w:r>
      <w:r w:rsidRPr="00B2696F">
        <w:rPr>
          <w:rFonts w:cs="Times New Roman"/>
          <w:i/>
          <w:iCs/>
          <w:noProof/>
          <w:szCs w:val="24"/>
        </w:rPr>
        <w:t>Jurnal Medika Nusantara</w:t>
      </w:r>
      <w:r w:rsidRPr="00B2696F">
        <w:rPr>
          <w:rFonts w:cs="Times New Roman"/>
          <w:noProof/>
          <w:szCs w:val="24"/>
        </w:rPr>
        <w:t>, 3(1), pp. 126–144. Available at: https://doi.org/10.59680/medika.v3i1.1679.</w:t>
      </w:r>
    </w:p>
    <w:p w14:paraId="4ED4EE93"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Sibarani, N.H. and Albina, M. (2025) ‘Etika dalam Penelitian Pedidikan’, 2, pp. 10–22.</w:t>
      </w:r>
    </w:p>
    <w:p w14:paraId="59D15F1C"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Smith, S.M. </w:t>
      </w:r>
      <w:r w:rsidRPr="00B2696F">
        <w:rPr>
          <w:rFonts w:cs="Times New Roman"/>
          <w:i/>
          <w:iCs/>
          <w:noProof/>
          <w:szCs w:val="24"/>
        </w:rPr>
        <w:t>et al.</w:t>
      </w:r>
      <w:r w:rsidRPr="00B2696F">
        <w:rPr>
          <w:rFonts w:cs="Times New Roman"/>
          <w:noProof/>
          <w:szCs w:val="24"/>
        </w:rPr>
        <w:t xml:space="preserve"> (2018) ‘Assessment of healthcare organizational readiness for change’, </w:t>
      </w:r>
      <w:r w:rsidRPr="00B2696F">
        <w:rPr>
          <w:rFonts w:cs="Times New Roman"/>
          <w:i/>
          <w:iCs/>
          <w:noProof/>
          <w:szCs w:val="24"/>
        </w:rPr>
        <w:t>CHAPTER FIVE RESEARCH DESIGN AND METHODOLOGY 5.1. Introduction</w:t>
      </w:r>
      <w:r w:rsidRPr="00B2696F">
        <w:rPr>
          <w:rFonts w:cs="Times New Roman"/>
          <w:noProof/>
          <w:szCs w:val="24"/>
        </w:rPr>
        <w:t>, 1(1), pp. 1–8. Available at: https://www.ukbimframework.org/standards-guidance/%0Ahttps://ejournal.poltektegal.ac.id/index.php/siklus/article/view/298%0Ahttp://repositorio.unan.edu.ni/2986/1/5624.pdf%0Ahttp://dx.doi.org/10.1016/j.jana.2015.10.005%0Ahttp://www.biomedcentral.com/1471-2.</w:t>
      </w:r>
    </w:p>
    <w:p w14:paraId="503A899E"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Subagyo, A. and Kristian, I. (2023) </w:t>
      </w:r>
      <w:r w:rsidRPr="00B2696F">
        <w:rPr>
          <w:rFonts w:cs="Times New Roman"/>
          <w:i/>
          <w:iCs/>
          <w:noProof/>
          <w:szCs w:val="24"/>
        </w:rPr>
        <w:t>Metode Penelitian Kuantitatif</w:t>
      </w:r>
      <w:r w:rsidRPr="00B2696F">
        <w:rPr>
          <w:rFonts w:cs="Times New Roman"/>
          <w:noProof/>
          <w:szCs w:val="24"/>
        </w:rPr>
        <w:t xml:space="preserve">, </w:t>
      </w:r>
      <w:r w:rsidRPr="00B2696F">
        <w:rPr>
          <w:rFonts w:cs="Times New Roman"/>
          <w:i/>
          <w:iCs/>
          <w:noProof/>
          <w:szCs w:val="24"/>
        </w:rPr>
        <w:t>Jurnal EQUILIBRIUM</w:t>
      </w:r>
      <w:r w:rsidRPr="00B2696F">
        <w:rPr>
          <w:rFonts w:cs="Times New Roman"/>
          <w:noProof/>
          <w:szCs w:val="24"/>
        </w:rPr>
        <w:t>.</w:t>
      </w:r>
    </w:p>
    <w:p w14:paraId="70BE4112"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Subhaktiayasa (2024) ‘Menentukan Populasi dan Sampel;Pendekatan Metodology Penelitian Kuantitatif dan Kualitatif’, </w:t>
      </w:r>
      <w:r w:rsidRPr="00B2696F">
        <w:rPr>
          <w:rFonts w:cs="Times New Roman"/>
          <w:i/>
          <w:iCs/>
          <w:noProof/>
          <w:szCs w:val="24"/>
        </w:rPr>
        <w:t>Jurnal Ilmiah Profesi Pendidikan</w:t>
      </w:r>
      <w:r w:rsidRPr="00B2696F">
        <w:rPr>
          <w:rFonts w:cs="Times New Roman"/>
          <w:noProof/>
          <w:szCs w:val="24"/>
        </w:rPr>
        <w:t>, 9, pp. 2721–2731.</w:t>
      </w:r>
    </w:p>
    <w:p w14:paraId="4DD3451A"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Sugiyono (2020) </w:t>
      </w:r>
      <w:r w:rsidRPr="00B2696F">
        <w:rPr>
          <w:rFonts w:cs="Times New Roman"/>
          <w:i/>
          <w:iCs/>
          <w:noProof/>
          <w:szCs w:val="24"/>
        </w:rPr>
        <w:t>Metodologi Penelitian Kuantitatif, Kualitatif dan R &amp; D</w:t>
      </w:r>
      <w:r w:rsidRPr="00B2696F">
        <w:rPr>
          <w:rFonts w:cs="Times New Roman"/>
          <w:noProof/>
          <w:szCs w:val="24"/>
        </w:rPr>
        <w:t>.</w:t>
      </w:r>
    </w:p>
    <w:p w14:paraId="3D0ED023"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Sunargo, B., Hartono, B. and Samingan, S. (2025) ‘Evaluation of the Implementation of Electronic Medical Record Using the PIECES Approach to Support Satu Sehat in the Emergency Department’, </w:t>
      </w:r>
      <w:r w:rsidRPr="00B2696F">
        <w:rPr>
          <w:rFonts w:cs="Times New Roman"/>
          <w:i/>
          <w:iCs/>
          <w:noProof/>
          <w:szCs w:val="24"/>
        </w:rPr>
        <w:t>Jurnal Ilmu dan Teknologi Kesehatan</w:t>
      </w:r>
      <w:r w:rsidRPr="00B2696F">
        <w:rPr>
          <w:rFonts w:cs="Times New Roman"/>
          <w:noProof/>
          <w:szCs w:val="24"/>
        </w:rPr>
        <w:t>, 12(2), pp. 163–174. Available at: https://doi.org/10.32668/jitek.v12i2.1799.</w:t>
      </w:r>
    </w:p>
    <w:p w14:paraId="7C539272"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Triyanto, K., Yunengsih, Y. and Susanto, A. (2021) ‘Analisis faktor penyebab terjadinya duplikasi nomor rekam medis di rumah sakit x’, 2(September), pp. 92–96.</w:t>
      </w:r>
    </w:p>
    <w:p w14:paraId="2D262769"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Umar, M.F. and Maksum, T.S. (2022) ‘Efektivitas Penerapan Sistem Informasi Kesehatan Berdasarkan Model Delone dan Mclean Effectiveness of the Implementation of Health Information Systems Based on the Delone and McLean Model’, 8(3), pp. 512–519.</w:t>
      </w:r>
    </w:p>
    <w:p w14:paraId="2BC2B4B2"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Wardana, C.K. and Licia, R. (2025) ‘Evaluasi Penerapan Rekam Medis Elektronik Terhadap Peningkatan Mutu Pelayanan Rawat Jalan Di RS PKU </w:t>
      </w:r>
      <w:r w:rsidRPr="00B2696F">
        <w:rPr>
          <w:rFonts w:cs="Times New Roman"/>
          <w:noProof/>
          <w:szCs w:val="24"/>
        </w:rPr>
        <w:lastRenderedPageBreak/>
        <w:t>Muhammadiyah Gombong’, 03, pp. 142–154.</w:t>
      </w:r>
    </w:p>
    <w:p w14:paraId="679AEA6D"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szCs w:val="24"/>
        </w:rPr>
      </w:pPr>
      <w:r w:rsidRPr="00B2696F">
        <w:rPr>
          <w:rFonts w:cs="Times New Roman"/>
          <w:noProof/>
          <w:szCs w:val="24"/>
        </w:rPr>
        <w:t xml:space="preserve">Yumna, A.A. </w:t>
      </w:r>
      <w:r w:rsidRPr="00B2696F">
        <w:rPr>
          <w:rFonts w:cs="Times New Roman"/>
          <w:i/>
          <w:iCs/>
          <w:noProof/>
          <w:szCs w:val="24"/>
        </w:rPr>
        <w:t>et al.</w:t>
      </w:r>
      <w:r w:rsidRPr="00B2696F">
        <w:rPr>
          <w:rFonts w:cs="Times New Roman"/>
          <w:noProof/>
          <w:szCs w:val="24"/>
        </w:rPr>
        <w:t xml:space="preserve"> (2023) ‘Kualitas Sistem Informasi E-Learning UIN Sumatera Utara’, </w:t>
      </w:r>
      <w:r w:rsidRPr="00B2696F">
        <w:rPr>
          <w:rFonts w:cs="Times New Roman"/>
          <w:i/>
          <w:iCs/>
          <w:noProof/>
          <w:szCs w:val="24"/>
        </w:rPr>
        <w:t>Jurnal Manajemen Akuntansi (JUMSI)</w:t>
      </w:r>
      <w:r w:rsidRPr="00B2696F">
        <w:rPr>
          <w:rFonts w:cs="Times New Roman"/>
          <w:noProof/>
          <w:szCs w:val="24"/>
        </w:rPr>
        <w:t>, 4(1), pp. 63–69. Available at: https://doi.org/10.36987/jumsi.v4i1.4564.</w:t>
      </w:r>
    </w:p>
    <w:p w14:paraId="3D2048AA" w14:textId="77777777" w:rsidR="008063CD" w:rsidRPr="00B2696F" w:rsidRDefault="008063CD" w:rsidP="008063CD">
      <w:pPr>
        <w:widowControl w:val="0"/>
        <w:autoSpaceDE w:val="0"/>
        <w:autoSpaceDN w:val="0"/>
        <w:adjustRightInd w:val="0"/>
        <w:spacing w:after="0" w:line="240" w:lineRule="auto"/>
        <w:ind w:left="720" w:hanging="720"/>
        <w:jc w:val="both"/>
        <w:rPr>
          <w:rFonts w:cs="Times New Roman"/>
          <w:noProof/>
        </w:rPr>
      </w:pPr>
      <w:r w:rsidRPr="00B2696F">
        <w:rPr>
          <w:rFonts w:cs="Times New Roman"/>
          <w:noProof/>
          <w:szCs w:val="24"/>
        </w:rPr>
        <w:t>Zenobia, E., Bhayza, P. and Agung, J.T. (2024) ‘Analisis Kesiapan Pelaksanaan Rekam Medis Elektronik dengan Metode Doctor ’ s Office Quality-Information Technology ( DOQ-IT ) di Rumah Sakit Umum Daerah Kajen Kabupaten Pekalongan Analysis of Electronic Medical Records Implementation Readiness Using The Doctor ’ s Office Quality-Information Technology ( DOQ-IT ) Method at the Kajen Regional General Hospital Pekalongan Regency Rekam Medis dan Informasi Kesehatan Poltekkes Kemenkes Semarang’, 7(1), pp. 40–52.</w:t>
      </w:r>
    </w:p>
    <w:p w14:paraId="1A907F45" w14:textId="77777777" w:rsidR="008063CD" w:rsidRDefault="008063CD" w:rsidP="008063CD">
      <w:pPr>
        <w:spacing w:after="0" w:line="276" w:lineRule="auto"/>
        <w:ind w:left="720" w:hanging="720"/>
        <w:jc w:val="both"/>
        <w:rPr>
          <w:lang w:val="en-US"/>
        </w:rPr>
      </w:pPr>
      <w:r>
        <w:rPr>
          <w:lang w:val="en-US"/>
        </w:rPr>
        <w:fldChar w:fldCharType="end"/>
      </w:r>
    </w:p>
    <w:p w14:paraId="42C52027" w14:textId="77777777" w:rsidR="00CB3EF4" w:rsidRDefault="00CB3EF4"/>
    <w:sectPr w:rsidR="00CB3EF4" w:rsidSect="008063CD">
      <w:footerReference w:type="default" r:id="rId6"/>
      <w:pgSz w:w="11906" w:h="16838"/>
      <w:pgMar w:top="1701" w:right="1701" w:bottom="1701" w:left="2268" w:header="708" w:footer="708" w:gutter="0"/>
      <w:pgNumType w:start="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33428" w14:textId="77777777" w:rsidR="002F42FD" w:rsidRDefault="002F42FD" w:rsidP="008063CD">
      <w:pPr>
        <w:spacing w:after="0" w:line="240" w:lineRule="auto"/>
      </w:pPr>
      <w:r>
        <w:separator/>
      </w:r>
    </w:p>
  </w:endnote>
  <w:endnote w:type="continuationSeparator" w:id="0">
    <w:p w14:paraId="6347D893" w14:textId="77777777" w:rsidR="002F42FD" w:rsidRDefault="002F42FD" w:rsidP="00806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730136"/>
      <w:docPartObj>
        <w:docPartGallery w:val="Page Numbers (Bottom of Page)"/>
        <w:docPartUnique/>
      </w:docPartObj>
    </w:sdtPr>
    <w:sdtEndPr>
      <w:rPr>
        <w:noProof/>
      </w:rPr>
    </w:sdtEndPr>
    <w:sdtContent>
      <w:p w14:paraId="57838BF9" w14:textId="7A34DA98" w:rsidR="008063CD" w:rsidRDefault="008063CD">
        <w:pPr>
          <w:pStyle w:val="Footer"/>
          <w:jc w:val="center"/>
        </w:pPr>
        <w:r w:rsidRPr="008063CD">
          <w:rPr>
            <w:rFonts w:ascii="Times New Roman" w:hAnsi="Times New Roman" w:cs="Times New Roman"/>
            <w:sz w:val="24"/>
            <w:szCs w:val="24"/>
          </w:rPr>
          <w:fldChar w:fldCharType="begin"/>
        </w:r>
        <w:r w:rsidRPr="008063CD">
          <w:rPr>
            <w:rFonts w:ascii="Times New Roman" w:hAnsi="Times New Roman" w:cs="Times New Roman"/>
            <w:sz w:val="24"/>
            <w:szCs w:val="24"/>
          </w:rPr>
          <w:instrText xml:space="preserve"> PAGE   \* MERGEFORMAT </w:instrText>
        </w:r>
        <w:r w:rsidRPr="008063CD">
          <w:rPr>
            <w:rFonts w:ascii="Times New Roman" w:hAnsi="Times New Roman" w:cs="Times New Roman"/>
            <w:sz w:val="24"/>
            <w:szCs w:val="24"/>
          </w:rPr>
          <w:fldChar w:fldCharType="separate"/>
        </w:r>
        <w:r w:rsidRPr="008063CD">
          <w:rPr>
            <w:rFonts w:ascii="Times New Roman" w:hAnsi="Times New Roman" w:cs="Times New Roman"/>
            <w:noProof/>
            <w:sz w:val="24"/>
            <w:szCs w:val="24"/>
          </w:rPr>
          <w:t>2</w:t>
        </w:r>
        <w:r w:rsidRPr="008063CD">
          <w:rPr>
            <w:rFonts w:ascii="Times New Roman" w:hAnsi="Times New Roman" w:cs="Times New Roman"/>
            <w:noProof/>
            <w:sz w:val="24"/>
            <w:szCs w:val="24"/>
          </w:rPr>
          <w:fldChar w:fldCharType="end"/>
        </w:r>
      </w:p>
    </w:sdtContent>
  </w:sdt>
  <w:p w14:paraId="3A249F69" w14:textId="77777777" w:rsidR="008063CD" w:rsidRDefault="008063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99D78" w14:textId="77777777" w:rsidR="002F42FD" w:rsidRDefault="002F42FD" w:rsidP="008063CD">
      <w:pPr>
        <w:spacing w:after="0" w:line="240" w:lineRule="auto"/>
      </w:pPr>
      <w:r>
        <w:separator/>
      </w:r>
    </w:p>
  </w:footnote>
  <w:footnote w:type="continuationSeparator" w:id="0">
    <w:p w14:paraId="35773C15" w14:textId="77777777" w:rsidR="002F42FD" w:rsidRDefault="002F42FD" w:rsidP="008063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3CD"/>
    <w:rsid w:val="00152D18"/>
    <w:rsid w:val="002F42FD"/>
    <w:rsid w:val="003423C7"/>
    <w:rsid w:val="008063CD"/>
    <w:rsid w:val="009F355B"/>
    <w:rsid w:val="00C92569"/>
    <w:rsid w:val="00CB3EF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05008"/>
  <w15:chartTrackingRefBased/>
  <w15:docId w15:val="{6D747025-D3F5-457F-AEC7-8730AFC27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3CD"/>
    <w:rPr>
      <w:rFonts w:ascii="Times New Roman" w:hAnsi="Times New Roman"/>
      <w:sz w:val="24"/>
    </w:rPr>
  </w:style>
  <w:style w:type="paragraph" w:styleId="Heading1">
    <w:name w:val="heading 1"/>
    <w:basedOn w:val="Normal"/>
    <w:next w:val="Normal"/>
    <w:link w:val="Heading1Char"/>
    <w:uiPriority w:val="9"/>
    <w:qFormat/>
    <w:rsid w:val="008063CD"/>
    <w:pPr>
      <w:keepNext/>
      <w:keepLines/>
      <w:spacing w:before="240" w:after="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3CD"/>
    <w:pPr>
      <w:tabs>
        <w:tab w:val="center" w:pos="4513"/>
        <w:tab w:val="right" w:pos="9026"/>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8063CD"/>
  </w:style>
  <w:style w:type="paragraph" w:styleId="Footer">
    <w:name w:val="footer"/>
    <w:basedOn w:val="Normal"/>
    <w:link w:val="FooterChar"/>
    <w:uiPriority w:val="99"/>
    <w:unhideWhenUsed/>
    <w:rsid w:val="008063CD"/>
    <w:pPr>
      <w:tabs>
        <w:tab w:val="center" w:pos="4513"/>
        <w:tab w:val="right" w:pos="9026"/>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8063CD"/>
  </w:style>
  <w:style w:type="character" w:customStyle="1" w:styleId="Heading1Char">
    <w:name w:val="Heading 1 Char"/>
    <w:basedOn w:val="DefaultParagraphFont"/>
    <w:link w:val="Heading1"/>
    <w:uiPriority w:val="9"/>
    <w:rsid w:val="008063CD"/>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1368</Words>
  <Characters>7800</Characters>
  <Application>Microsoft Office Word</Application>
  <DocSecurity>0</DocSecurity>
  <Lines>65</Lines>
  <Paragraphs>18</Paragraphs>
  <ScaleCrop>false</ScaleCrop>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ANGGA</dc:creator>
  <cp:keywords/>
  <dc:description/>
  <cp:lastModifiedBy>ANGGA</cp:lastModifiedBy>
  <cp:revision>1</cp:revision>
  <dcterms:created xsi:type="dcterms:W3CDTF">2026-09-02T05:09:00Z</dcterms:created>
  <dcterms:modified xsi:type="dcterms:W3CDTF">2026-09-02T05:10:00Z</dcterms:modified>
</cp:coreProperties>
</file>