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B086E" w:rsidRPr="00D128E2" w:rsidRDefault="001B086E" w:rsidP="001B086E">
      <w:pPr>
        <w:keepNext/>
        <w:keepLines/>
        <w:spacing w:line="480" w:lineRule="auto"/>
        <w:jc w:val="center"/>
        <w:outlineLvl w:val="0"/>
        <w:rPr>
          <w:b/>
          <w:bCs/>
          <w:kern w:val="2"/>
          <w:lang w:val="id-ID"/>
          <w14:ligatures w14:val="standardContextual"/>
        </w:rPr>
      </w:pPr>
      <w:r w:rsidRPr="00D128E2">
        <w:rPr>
          <w:b/>
          <w:bCs/>
          <w:kern w:val="2"/>
          <w:lang w:val="id-ID"/>
          <w14:ligatures w14:val="standardContextual"/>
        </w:rPr>
        <w:t>BAB IV</w:t>
      </w:r>
    </w:p>
    <w:p w:rsidR="001B086E" w:rsidRPr="00D128E2" w:rsidRDefault="001B086E" w:rsidP="001B086E">
      <w:pPr>
        <w:keepNext/>
        <w:keepLines/>
        <w:spacing w:line="480" w:lineRule="auto"/>
        <w:jc w:val="center"/>
        <w:outlineLvl w:val="0"/>
        <w:rPr>
          <w:b/>
          <w:bCs/>
          <w:kern w:val="2"/>
          <w:lang w:val="id-ID"/>
          <w14:ligatures w14:val="standardContextual"/>
        </w:rPr>
      </w:pPr>
      <w:bookmarkStart w:id="0" w:name="_Toc201919798"/>
      <w:bookmarkStart w:id="1" w:name="_Toc201927795"/>
      <w:bookmarkStart w:id="2" w:name="_Toc202996861"/>
      <w:bookmarkStart w:id="3" w:name="_Toc225698544"/>
      <w:r w:rsidRPr="00D128E2">
        <w:rPr>
          <w:b/>
          <w:bCs/>
          <w:kern w:val="2"/>
          <w:lang w:val="id-ID"/>
          <w14:ligatures w14:val="standardContextual"/>
        </w:rPr>
        <w:t>HASIL PENELITIAN DAN PEMBAHASAN</w:t>
      </w:r>
      <w:bookmarkEnd w:id="0"/>
      <w:bookmarkEnd w:id="1"/>
      <w:bookmarkEnd w:id="2"/>
      <w:bookmarkEnd w:id="3"/>
    </w:p>
    <w:p w:rsidR="001B086E" w:rsidRPr="00D128E2" w:rsidRDefault="001B086E" w:rsidP="001B086E">
      <w:pPr>
        <w:rPr>
          <w:rFonts w:eastAsia="Calibri"/>
          <w:kern w:val="2"/>
          <w:lang w:val="id-ID"/>
          <w14:ligatures w14:val="standardContextual"/>
        </w:rPr>
      </w:pPr>
    </w:p>
    <w:p w:rsidR="001B086E" w:rsidRPr="00D128E2" w:rsidRDefault="001B086E" w:rsidP="001B086E">
      <w:pPr>
        <w:keepNext/>
        <w:keepLines/>
        <w:numPr>
          <w:ilvl w:val="0"/>
          <w:numId w:val="6"/>
        </w:numPr>
        <w:spacing w:line="480" w:lineRule="auto"/>
        <w:outlineLvl w:val="1"/>
        <w:rPr>
          <w:b/>
          <w:bCs/>
          <w:color w:val="2F5496"/>
          <w:kern w:val="2"/>
          <w:lang w:val="id-ID"/>
          <w14:ligatures w14:val="standardContextual"/>
        </w:rPr>
      </w:pPr>
      <w:bookmarkStart w:id="4" w:name="_Toc202996862"/>
      <w:bookmarkStart w:id="5" w:name="_Toc225698545"/>
      <w:r w:rsidRPr="00D128E2">
        <w:rPr>
          <w:b/>
          <w:bCs/>
          <w:kern w:val="2"/>
          <w:lang w:val="id-ID"/>
          <w14:ligatures w14:val="standardContextual"/>
        </w:rPr>
        <w:t>Hasil Penelitian</w:t>
      </w:r>
      <w:bookmarkEnd w:id="4"/>
      <w:bookmarkEnd w:id="5"/>
    </w:p>
    <w:p w:rsidR="001B086E" w:rsidRPr="00D128E2" w:rsidRDefault="001B086E" w:rsidP="001B086E">
      <w:pPr>
        <w:numPr>
          <w:ilvl w:val="0"/>
          <w:numId w:val="5"/>
        </w:numPr>
        <w:spacing w:line="480" w:lineRule="auto"/>
        <w:contextualSpacing/>
        <w:rPr>
          <w:rFonts w:eastAsia="Calibri"/>
          <w:b/>
          <w:bCs/>
          <w:kern w:val="2"/>
          <w:lang w:val="id-ID"/>
          <w14:ligatures w14:val="standardContextual"/>
        </w:rPr>
      </w:pPr>
      <w:r w:rsidRPr="00D128E2">
        <w:rPr>
          <w:rFonts w:eastAsia="Calibri"/>
          <w:b/>
          <w:bCs/>
          <w:kern w:val="2"/>
          <w:lang w:val="id-ID"/>
          <w14:ligatures w14:val="standardContextual"/>
        </w:rPr>
        <w:t>Gambaran Lokasi Penelitian</w:t>
      </w:r>
    </w:p>
    <w:p w:rsidR="001B086E" w:rsidRPr="00B76B79" w:rsidRDefault="001B086E" w:rsidP="001B086E">
      <w:pPr>
        <w:spacing w:line="480" w:lineRule="auto"/>
        <w:ind w:firstLine="720"/>
        <w:jc w:val="both"/>
        <w:rPr>
          <w:rFonts w:eastAsia="Calibri"/>
          <w:kern w:val="2"/>
          <w:lang w:val="id-ID"/>
          <w14:ligatures w14:val="standardContextual"/>
        </w:rPr>
      </w:pPr>
      <w:r w:rsidRPr="00B76B79">
        <w:rPr>
          <w:rFonts w:eastAsia="Calibri"/>
          <w:kern w:val="2"/>
          <w:lang w:val="id-ID"/>
          <w14:ligatures w14:val="standardContextual"/>
        </w:rPr>
        <w:t xml:space="preserve">Palang Merah Indonesia (PMI) Kabupaten Karangasem beralamat di Jalan Ngurah Rai No. 55, Amlapura, Kabupaten Karangasem, Provinsi Bali. Lokasi ini berada di kawasan pusat pemerintahan Kabupaten Karangasem yang strategis dan mudah dijangkau oleh masyarakat dari berbagai wilayah, baik perkotaan maupun pedesaan. Kantor PMI yang sekaligus menjadi markas dan Unit Donor Darah (UDD) ini berfungsi sebagai pusat koordinasi kegiatan sosial kemanusiaan serta pelayanan donor darah bagi masyarakat setempat. Selain itu, </w:t>
      </w:r>
      <w:r>
        <w:rPr>
          <w:rFonts w:eastAsia="Calibri"/>
          <w:kern w:val="2"/>
          <w14:ligatures w14:val="standardContextual"/>
        </w:rPr>
        <w:t>lokasinya yang berada</w:t>
      </w:r>
      <w:r w:rsidRPr="00B76B79">
        <w:rPr>
          <w:rFonts w:eastAsia="Calibri"/>
          <w:kern w:val="2"/>
          <w:lang w:val="id-ID"/>
          <w14:ligatures w14:val="standardContextual"/>
        </w:rPr>
        <w:t xml:space="preserve"> di pusat kota Amlapura memberikan kemudahan dalam akses transportasi serta mendukung kelancaran distribusi darah ke berbagai fasilitas pelayanan kesehatan di wilayah Karangasem. Lingkungan sekitar didominasi oleh fasilitas kesehatan, perkantoran, dan permukiman penduduk, sehingga sangat mendukung kegiatan operasional PMI, khususnya dalam pelayanan donor darah.</w:t>
      </w:r>
    </w:p>
    <w:p w:rsidR="001B086E" w:rsidRPr="00B76B79" w:rsidRDefault="001B086E" w:rsidP="001B086E">
      <w:pPr>
        <w:spacing w:line="480" w:lineRule="auto"/>
        <w:ind w:firstLine="720"/>
        <w:jc w:val="both"/>
        <w:rPr>
          <w:rFonts w:eastAsia="Calibri"/>
          <w:kern w:val="2"/>
          <w:lang w:val="id-ID"/>
          <w14:ligatures w14:val="standardContextual"/>
        </w:rPr>
      </w:pPr>
      <w:r w:rsidRPr="00B76B79">
        <w:rPr>
          <w:rFonts w:eastAsia="Calibri"/>
          <w:kern w:val="2"/>
          <w:lang w:val="id-ID"/>
          <w14:ligatures w14:val="standardContextual"/>
        </w:rPr>
        <w:t xml:space="preserve">Unit Donor Darah (UDD) PMI Kabupaten Karangasem </w:t>
      </w:r>
      <w:r>
        <w:rPr>
          <w:rFonts w:eastAsia="Calibri"/>
          <w:kern w:val="2"/>
          <w14:ligatures w14:val="standardContextual"/>
        </w:rPr>
        <w:t>memainkan peranan</w:t>
      </w:r>
      <w:r w:rsidRPr="00B76B79">
        <w:rPr>
          <w:rFonts w:eastAsia="Calibri"/>
          <w:kern w:val="2"/>
          <w:lang w:val="id-ID"/>
          <w14:ligatures w14:val="standardContextual"/>
        </w:rPr>
        <w:t xml:space="preserve"> penting dalam </w:t>
      </w:r>
      <w:r>
        <w:rPr>
          <w:rFonts w:eastAsia="Calibri"/>
          <w:kern w:val="2"/>
          <w14:ligatures w14:val="standardContextual"/>
        </w:rPr>
        <w:t xml:space="preserve">memberikan penyediaan darah yang berkualitas dan aman melalui kegiatan </w:t>
      </w:r>
      <w:r w:rsidRPr="00B76B79">
        <w:rPr>
          <w:rFonts w:eastAsia="Calibri"/>
          <w:kern w:val="2"/>
          <w:lang w:val="id-ID"/>
          <w14:ligatures w14:val="standardContextual"/>
        </w:rPr>
        <w:t xml:space="preserve">rekrutmen donor, pengambilan darah, pengolahan komponen darah seperti </w:t>
      </w:r>
      <w:r w:rsidRPr="00766AA3">
        <w:rPr>
          <w:rFonts w:eastAsia="Calibri"/>
          <w:i/>
          <w:iCs/>
          <w:kern w:val="2"/>
          <w:lang w:val="id-ID"/>
          <w14:ligatures w14:val="standardContextual"/>
        </w:rPr>
        <w:t>Packed Red Cells</w:t>
      </w:r>
      <w:r w:rsidRPr="00B76B79">
        <w:rPr>
          <w:rFonts w:eastAsia="Calibri"/>
          <w:kern w:val="2"/>
          <w:lang w:val="id-ID"/>
          <w14:ligatures w14:val="standardContextual"/>
        </w:rPr>
        <w:t xml:space="preserve"> (PRC), serta penyimpanan dan pendistribusian darah. UDD ini </w:t>
      </w:r>
      <w:r>
        <w:t xml:space="preserve">didukung oleh fasilitas serta peralatan laboratorium yang memadai untuk menunjang berbagai kegiatan pemeriksaan darah. Pemeriksaan tersebut mencakup identifikasi golongan darah, skrining Infeksi Menular Lewat Transfusi Darah </w:t>
      </w:r>
      <w:r>
        <w:lastRenderedPageBreak/>
        <w:t>(IMLTD), serta analisis berbagai parameter hematologi</w:t>
      </w:r>
      <w:r w:rsidRPr="00B76B79">
        <w:rPr>
          <w:rFonts w:eastAsia="Calibri"/>
          <w:kern w:val="2"/>
          <w:lang w:val="id-ID"/>
          <w14:ligatures w14:val="standardContextual"/>
        </w:rPr>
        <w:t>. Secara fungsional, PMI Kabupaten Karangasem juga aktif dalam mendukung peningkatan derajat kesehatan masyarakat melalui kegiatan penyuluhan kesehatan, pemeriksaan rutin, dan pelatihan pertolongan pertama. Selain itu, PMI berperan dalam penanggulangan bencana alam yang kerap terjadi di wilayah Karangasem, seperti erupsi Gunung Agung dan bencana hidrometeorologi lainnya. Dengan kondisi geografis yang beragam serta karakteristik masyarakat yang heterogen, PMI Kabupaten Karangasem menjadi lokasi yang representatif untuk pelaksanaan penelitian di bidang kesehatan masyarakat dan kemanusiaan, serta berperan sebagai pusat edukasi, pembinaan relawan, dan penggerak kepedulian sosial di masyarakat.</w:t>
      </w:r>
    </w:p>
    <w:p w:rsidR="001B086E" w:rsidRPr="00D128E2" w:rsidRDefault="001B086E" w:rsidP="001B086E">
      <w:pPr>
        <w:numPr>
          <w:ilvl w:val="0"/>
          <w:numId w:val="5"/>
        </w:numPr>
        <w:spacing w:after="160" w:line="480" w:lineRule="auto"/>
        <w:contextualSpacing/>
        <w:rPr>
          <w:rFonts w:eastAsia="Calibri"/>
          <w:b/>
          <w:bCs/>
          <w:kern w:val="2"/>
          <w:lang w:val="id-ID"/>
          <w14:ligatures w14:val="standardContextual"/>
        </w:rPr>
      </w:pPr>
      <w:bookmarkStart w:id="6" w:name="_Hlk225698667"/>
      <w:r w:rsidRPr="00D128E2">
        <w:rPr>
          <w:rFonts w:eastAsia="Calibri"/>
          <w:b/>
          <w:bCs/>
          <w:kern w:val="2"/>
          <w:lang w:val="id-ID"/>
          <w14:ligatures w14:val="standardContextual"/>
        </w:rPr>
        <w:t>Karakteristik Subyek Penelitian</w:t>
      </w:r>
    </w:p>
    <w:bookmarkEnd w:id="6"/>
    <w:p w:rsidR="001B086E" w:rsidRPr="00B76B79" w:rsidRDefault="001B086E" w:rsidP="001B086E">
      <w:pPr>
        <w:spacing w:line="480" w:lineRule="auto"/>
        <w:ind w:firstLine="720"/>
        <w:jc w:val="both"/>
        <w:rPr>
          <w:rFonts w:eastAsia="Calibri"/>
          <w:kern w:val="2"/>
          <w:lang w:val="id-ID"/>
          <w14:ligatures w14:val="standardContextual"/>
        </w:rPr>
      </w:pPr>
      <w:r w:rsidRPr="00B76B79">
        <w:rPr>
          <w:rFonts w:eastAsia="Calibri"/>
          <w:kern w:val="2"/>
          <w:lang w:val="id-ID"/>
          <w14:ligatures w14:val="standardContextual"/>
        </w:rPr>
        <w:t xml:space="preserve">Sampel yang digunakan </w:t>
      </w:r>
      <w:r>
        <w:rPr>
          <w:rFonts w:eastAsia="Calibri"/>
          <w:kern w:val="2"/>
          <w14:ligatures w14:val="standardContextual"/>
        </w:rPr>
        <w:t>didalam studi</w:t>
      </w:r>
      <w:r>
        <w:rPr>
          <w:rFonts w:eastAsia="Calibri"/>
          <w:kern w:val="2"/>
          <w:lang w:val="id-ID"/>
          <w14:ligatures w14:val="standardContextual"/>
        </w:rPr>
        <w:t xml:space="preserve"> ini berupa darah dari </w:t>
      </w:r>
      <w:r w:rsidRPr="00B76B79">
        <w:rPr>
          <w:rFonts w:eastAsia="Calibri"/>
          <w:kern w:val="2"/>
          <w:lang w:val="id-ID"/>
          <w14:ligatures w14:val="standardContextual"/>
        </w:rPr>
        <w:t xml:space="preserve">kantong komponen </w:t>
      </w:r>
      <w:r>
        <w:rPr>
          <w:rFonts w:eastAsia="Calibri"/>
          <w:kern w:val="2"/>
          <w:lang w:val="id-ID"/>
          <w14:ligatures w14:val="standardContextual"/>
        </w:rPr>
        <w:t>PRC</w:t>
      </w:r>
      <w:r w:rsidRPr="00B76B79">
        <w:rPr>
          <w:rFonts w:eastAsia="Calibri"/>
          <w:kern w:val="2"/>
          <w:lang w:val="id-ID"/>
          <w14:ligatures w14:val="standardContextual"/>
        </w:rPr>
        <w:t xml:space="preserve"> yang diperoleh </w:t>
      </w:r>
      <w:r>
        <w:rPr>
          <w:rFonts w:eastAsia="Calibri"/>
          <w:kern w:val="2"/>
          <w14:ligatures w14:val="standardContextual"/>
        </w:rPr>
        <w:t>melalui</w:t>
      </w:r>
      <w:r w:rsidRPr="00B76B79">
        <w:rPr>
          <w:rFonts w:eastAsia="Calibri"/>
          <w:kern w:val="2"/>
          <w:lang w:val="id-ID"/>
          <w14:ligatures w14:val="standardContextual"/>
        </w:rPr>
        <w:t xml:space="preserve"> Unit Donor Darah (UDD) PMI Kabupaten Karangasem sebelum dilakukan proses penyimpanan selama satu minggu di dalam </w:t>
      </w:r>
      <w:r w:rsidRPr="00B76B79">
        <w:rPr>
          <w:rFonts w:eastAsia="Calibri"/>
          <w:i/>
          <w:iCs/>
          <w:kern w:val="2"/>
          <w:lang w:val="id-ID"/>
          <w14:ligatures w14:val="standardContextual"/>
        </w:rPr>
        <w:t>blood refrigerator</w:t>
      </w:r>
      <w:r w:rsidRPr="00B76B79">
        <w:rPr>
          <w:rFonts w:eastAsia="Calibri"/>
          <w:kern w:val="2"/>
          <w:lang w:val="id-ID"/>
          <w14:ligatures w14:val="standardContextual"/>
        </w:rPr>
        <w:t xml:space="preserve">. Pemilihan sampel didasarkan pada kriteria tertentu, yaitu darah yang diambil dari bagian selang kantong PRC yang telah dinyatakan memenuhi syarat keamanan transfusi. Kelayakan tersebut dibuktikan melalui uji saring </w:t>
      </w:r>
      <w:r>
        <w:rPr>
          <w:rFonts w:eastAsia="Calibri"/>
          <w:kern w:val="2"/>
          <w:lang w:val="id-ID"/>
          <w14:ligatures w14:val="standardContextual"/>
        </w:rPr>
        <w:t>IMLTD</w:t>
      </w:r>
      <w:r w:rsidRPr="00B76B79">
        <w:rPr>
          <w:rFonts w:eastAsia="Calibri"/>
          <w:kern w:val="2"/>
          <w:lang w:val="id-ID"/>
          <w14:ligatures w14:val="standardContextual"/>
        </w:rPr>
        <w:t xml:space="preserve">, yang mencakup pemeriksaan HBsAg, anti-HCV, VDRL, dan anti-HIV, sehingga dapat dipastikan bahwa darah bebas dari agen infeksius dan aman untuk dianalisis di laboratorium. Meskipun pengambilan sampel hanya dilakukan melalui selang kantong darah, bagian ini tetap dianggap representatif terhadap keseluruhan isi kantong PRC. Hal ini dikarenakan darah donor telah melalui proses </w:t>
      </w:r>
      <w:r w:rsidRPr="00B76B79">
        <w:rPr>
          <w:rFonts w:eastAsia="Calibri"/>
          <w:kern w:val="2"/>
          <w:lang w:val="id-ID"/>
          <w14:ligatures w14:val="standardContextual"/>
        </w:rPr>
        <w:lastRenderedPageBreak/>
        <w:t>homogenisasi atau pencampuran secara merata setelah pengambilan, sehingga komposisi darah pada selang dan kantong memiliki karakteristik yang seragam.</w:t>
      </w:r>
    </w:p>
    <w:p w:rsidR="001B086E" w:rsidRPr="0067030D" w:rsidRDefault="001B086E" w:rsidP="001B086E">
      <w:pPr>
        <w:numPr>
          <w:ilvl w:val="0"/>
          <w:numId w:val="8"/>
        </w:numPr>
        <w:spacing w:line="480" w:lineRule="auto"/>
        <w:ind w:left="426" w:hanging="426"/>
        <w:contextualSpacing/>
        <w:jc w:val="both"/>
        <w:rPr>
          <w:rFonts w:eastAsia="Calibri"/>
          <w:bCs/>
          <w:lang w:val="sv-SE" w:eastAsia="id-ID"/>
        </w:rPr>
      </w:pPr>
      <w:r>
        <w:rPr>
          <w:rFonts w:eastAsia="Calibri"/>
          <w:bCs/>
          <w:lang w:val="sv-SE" w:eastAsia="id-ID"/>
        </w:rPr>
        <w:t>K</w:t>
      </w:r>
      <w:r w:rsidRPr="0067030D">
        <w:rPr>
          <w:rFonts w:eastAsia="Calibri"/>
          <w:bCs/>
          <w:lang w:val="sv-SE" w:eastAsia="id-ID"/>
        </w:rPr>
        <w:t xml:space="preserve">adar Hemoglobin </w:t>
      </w:r>
      <w:r>
        <w:rPr>
          <w:rFonts w:eastAsia="Calibri"/>
          <w:bCs/>
          <w:lang w:val="sv-SE" w:eastAsia="id-ID"/>
        </w:rPr>
        <w:t xml:space="preserve">Kantong Darah PRC Pada Masa Simpan </w:t>
      </w:r>
    </w:p>
    <w:p w:rsidR="001B086E" w:rsidRPr="0067030D" w:rsidRDefault="001B086E" w:rsidP="001B086E">
      <w:pPr>
        <w:spacing w:line="480" w:lineRule="auto"/>
        <w:ind w:firstLine="426"/>
        <w:jc w:val="both"/>
        <w:rPr>
          <w:rFonts w:eastAsia="Calibri"/>
          <w:bCs/>
          <w:lang w:val="sv-SE" w:eastAsia="id-ID"/>
        </w:rPr>
      </w:pPr>
      <w:r w:rsidRPr="0067030D">
        <w:rPr>
          <w:rFonts w:eastAsia="Calibri"/>
          <w:bCs/>
          <w:lang w:val="sv-SE" w:eastAsia="id-ID"/>
        </w:rPr>
        <w:t>Berdasarkan hasil uji analisis data kadar hemoglobin</w:t>
      </w:r>
      <w:r>
        <w:rPr>
          <w:rFonts w:eastAsia="Calibri"/>
          <w:bCs/>
          <w:lang w:val="sv-SE" w:eastAsia="id-ID"/>
        </w:rPr>
        <w:t xml:space="preserve"> pada masa simpan,</w:t>
      </w:r>
      <w:r w:rsidRPr="0067030D">
        <w:rPr>
          <w:rFonts w:eastAsia="Calibri"/>
          <w:bCs/>
          <w:lang w:val="sv-SE" w:eastAsia="id-ID"/>
        </w:rPr>
        <w:t xml:space="preserve"> </w:t>
      </w:r>
      <w:r>
        <w:rPr>
          <w:rFonts w:eastAsia="Calibri"/>
          <w:bCs/>
          <w:lang w:val="sv-SE" w:eastAsia="id-ID"/>
        </w:rPr>
        <w:t>didapatkan hasil yang ditampilkan melalui tabel dibawah ini</w:t>
      </w:r>
      <w:r w:rsidRPr="0067030D">
        <w:rPr>
          <w:rFonts w:eastAsia="Calibri"/>
          <w:bCs/>
          <w:lang w:val="sv-SE" w:eastAsia="id-ID"/>
        </w:rPr>
        <w:t>:</w:t>
      </w:r>
    </w:p>
    <w:p w:rsidR="001B086E" w:rsidRPr="00F35BF5" w:rsidRDefault="001B086E" w:rsidP="001B086E">
      <w:pPr>
        <w:pStyle w:val="Caption"/>
        <w:jc w:val="center"/>
        <w:rPr>
          <w:i/>
          <w:iCs/>
          <w:color w:val="000000" w:themeColor="text1"/>
          <w:sz w:val="24"/>
          <w:szCs w:val="24"/>
          <w:lang w:val="sv-SE"/>
        </w:rPr>
      </w:pPr>
      <w:bookmarkStart w:id="7" w:name="_Toc225695871"/>
      <w:r w:rsidRPr="00F35BF5">
        <w:rPr>
          <w:color w:val="000000" w:themeColor="text1"/>
          <w:sz w:val="24"/>
          <w:szCs w:val="24"/>
          <w:lang w:val="sv-SE"/>
        </w:rPr>
        <w:t>Tabel 4.</w:t>
      </w:r>
      <w:r w:rsidRPr="00423539">
        <w:rPr>
          <w:i/>
          <w:iCs/>
          <w:color w:val="000000" w:themeColor="text1"/>
          <w:sz w:val="24"/>
          <w:szCs w:val="24"/>
        </w:rPr>
        <w:fldChar w:fldCharType="begin"/>
      </w:r>
      <w:r w:rsidRPr="00F35BF5">
        <w:rPr>
          <w:color w:val="000000" w:themeColor="text1"/>
          <w:sz w:val="24"/>
          <w:szCs w:val="24"/>
          <w:lang w:val="sv-SE"/>
        </w:rPr>
        <w:instrText xml:space="preserve"> SEQ Tabel_4. \* ARABIC </w:instrText>
      </w:r>
      <w:r w:rsidRPr="00423539">
        <w:rPr>
          <w:i/>
          <w:iCs/>
          <w:color w:val="000000" w:themeColor="text1"/>
          <w:sz w:val="24"/>
          <w:szCs w:val="24"/>
        </w:rPr>
        <w:fldChar w:fldCharType="separate"/>
      </w:r>
      <w:r w:rsidRPr="00F35BF5">
        <w:rPr>
          <w:noProof/>
          <w:color w:val="000000" w:themeColor="text1"/>
          <w:sz w:val="24"/>
          <w:szCs w:val="24"/>
          <w:lang w:val="sv-SE"/>
        </w:rPr>
        <w:t>1</w:t>
      </w:r>
      <w:bookmarkEnd w:id="7"/>
      <w:r w:rsidRPr="00423539">
        <w:rPr>
          <w:i/>
          <w:iCs/>
          <w:color w:val="000000" w:themeColor="text1"/>
          <w:sz w:val="24"/>
          <w:szCs w:val="24"/>
        </w:rPr>
        <w:fldChar w:fldCharType="end"/>
      </w:r>
    </w:p>
    <w:p w:rsidR="001B086E" w:rsidRDefault="001B086E" w:rsidP="001B086E">
      <w:pPr>
        <w:pStyle w:val="Caption"/>
        <w:jc w:val="center"/>
        <w:rPr>
          <w:rFonts w:eastAsia="Calibri"/>
          <w:i/>
          <w:iCs/>
          <w:color w:val="000000" w:themeColor="text1"/>
          <w:sz w:val="24"/>
          <w:szCs w:val="24"/>
          <w:lang w:val="sv-SE" w:eastAsia="id-ID"/>
        </w:rPr>
      </w:pPr>
      <w:r w:rsidRPr="00423539">
        <w:rPr>
          <w:rFonts w:eastAsia="Calibri"/>
          <w:color w:val="000000" w:themeColor="text1"/>
          <w:sz w:val="24"/>
          <w:szCs w:val="24"/>
          <w:lang w:val="sv-SE" w:eastAsia="id-ID"/>
        </w:rPr>
        <w:t>Kadar Hemoglobin Kantong Darah PRC Pada Masa Simpan</w:t>
      </w:r>
    </w:p>
    <w:p w:rsidR="001B086E" w:rsidRPr="00423539" w:rsidRDefault="001B086E" w:rsidP="001B086E">
      <w:pPr>
        <w:rPr>
          <w:rFonts w:eastAsia="Calibri"/>
          <w:lang w:val="sv-SE" w:eastAsia="id-ID"/>
        </w:rPr>
      </w:pPr>
    </w:p>
    <w:tbl>
      <w:tblPr>
        <w:tblStyle w:val="TableGrid2"/>
        <w:tblW w:w="0" w:type="auto"/>
        <w:jc w:val="center"/>
        <w:tblLook w:val="04A0" w:firstRow="1" w:lastRow="0" w:firstColumn="1" w:lastColumn="0" w:noHBand="0" w:noVBand="1"/>
      </w:tblPr>
      <w:tblGrid>
        <w:gridCol w:w="1316"/>
        <w:gridCol w:w="1129"/>
        <w:gridCol w:w="1134"/>
        <w:gridCol w:w="1706"/>
        <w:gridCol w:w="709"/>
      </w:tblGrid>
      <w:tr w:rsidR="001B086E" w:rsidRPr="00A20466" w:rsidTr="00AC388C">
        <w:trPr>
          <w:trHeight w:val="420"/>
          <w:jc w:val="center"/>
        </w:trPr>
        <w:tc>
          <w:tcPr>
            <w:tcW w:w="1316" w:type="dxa"/>
            <w:tcBorders>
              <w:left w:val="nil"/>
              <w:right w:val="nil"/>
            </w:tcBorders>
            <w:vAlign w:val="center"/>
          </w:tcPr>
          <w:p w:rsidR="001B086E" w:rsidRPr="00A20466" w:rsidRDefault="001B086E" w:rsidP="00AC388C">
            <w:pPr>
              <w:jc w:val="center"/>
              <w:rPr>
                <w:rFonts w:eastAsia="Calibri"/>
                <w:b/>
                <w:sz w:val="20"/>
                <w:szCs w:val="20"/>
              </w:rPr>
            </w:pPr>
            <w:r w:rsidRPr="00A20466">
              <w:rPr>
                <w:rFonts w:eastAsia="Calibri"/>
                <w:b/>
                <w:sz w:val="20"/>
                <w:szCs w:val="20"/>
              </w:rPr>
              <w:t>Masa Simpan</w:t>
            </w:r>
          </w:p>
        </w:tc>
        <w:tc>
          <w:tcPr>
            <w:tcW w:w="1129" w:type="dxa"/>
            <w:tcBorders>
              <w:left w:val="nil"/>
              <w:bottom w:val="single" w:sz="4" w:space="0" w:color="auto"/>
              <w:right w:val="nil"/>
            </w:tcBorders>
            <w:vAlign w:val="center"/>
          </w:tcPr>
          <w:p w:rsidR="001B086E" w:rsidRPr="00A20466" w:rsidRDefault="001B086E" w:rsidP="00AC388C">
            <w:pPr>
              <w:jc w:val="center"/>
              <w:rPr>
                <w:rFonts w:eastAsia="Calibri"/>
                <w:b/>
                <w:sz w:val="20"/>
                <w:szCs w:val="20"/>
              </w:rPr>
            </w:pPr>
            <w:r w:rsidRPr="00A20466">
              <w:rPr>
                <w:rFonts w:eastAsia="Calibri"/>
                <w:b/>
                <w:sz w:val="20"/>
                <w:szCs w:val="20"/>
              </w:rPr>
              <w:t>Min</w:t>
            </w:r>
          </w:p>
          <w:p w:rsidR="001B086E" w:rsidRPr="00A20466" w:rsidRDefault="001B086E" w:rsidP="00AC388C">
            <w:pPr>
              <w:jc w:val="center"/>
              <w:rPr>
                <w:rFonts w:eastAsia="Calibri"/>
                <w:b/>
                <w:sz w:val="20"/>
                <w:szCs w:val="20"/>
              </w:rPr>
            </w:pPr>
            <w:r w:rsidRPr="00A20466">
              <w:rPr>
                <w:rFonts w:eastAsia="Calibri"/>
                <w:b/>
                <w:sz w:val="20"/>
                <w:szCs w:val="20"/>
              </w:rPr>
              <w:t>(g/dL)</w:t>
            </w:r>
          </w:p>
        </w:tc>
        <w:tc>
          <w:tcPr>
            <w:tcW w:w="1134" w:type="dxa"/>
            <w:tcBorders>
              <w:left w:val="nil"/>
              <w:right w:val="nil"/>
            </w:tcBorders>
            <w:vAlign w:val="center"/>
          </w:tcPr>
          <w:p w:rsidR="001B086E" w:rsidRPr="00A20466" w:rsidRDefault="001B086E" w:rsidP="00AC388C">
            <w:pPr>
              <w:jc w:val="center"/>
              <w:rPr>
                <w:rFonts w:eastAsia="Calibri"/>
                <w:b/>
                <w:sz w:val="20"/>
                <w:szCs w:val="20"/>
              </w:rPr>
            </w:pPr>
            <w:r w:rsidRPr="00A20466">
              <w:rPr>
                <w:rFonts w:eastAsia="Calibri"/>
                <w:b/>
                <w:sz w:val="20"/>
                <w:szCs w:val="20"/>
              </w:rPr>
              <w:t>Max</w:t>
            </w:r>
          </w:p>
          <w:p w:rsidR="001B086E" w:rsidRPr="00A20466" w:rsidRDefault="001B086E" w:rsidP="00AC388C">
            <w:pPr>
              <w:jc w:val="center"/>
              <w:rPr>
                <w:rFonts w:eastAsia="Calibri"/>
                <w:b/>
                <w:sz w:val="20"/>
                <w:szCs w:val="20"/>
              </w:rPr>
            </w:pPr>
            <w:r w:rsidRPr="00A20466">
              <w:rPr>
                <w:rFonts w:eastAsia="Calibri"/>
                <w:b/>
                <w:sz w:val="20"/>
                <w:szCs w:val="20"/>
              </w:rPr>
              <w:t>(g/dL)</w:t>
            </w:r>
          </w:p>
        </w:tc>
        <w:tc>
          <w:tcPr>
            <w:tcW w:w="1706" w:type="dxa"/>
            <w:tcBorders>
              <w:left w:val="nil"/>
              <w:bottom w:val="single" w:sz="4" w:space="0" w:color="auto"/>
              <w:right w:val="nil"/>
            </w:tcBorders>
            <w:vAlign w:val="center"/>
          </w:tcPr>
          <w:p w:rsidR="001B086E" w:rsidRPr="00A20466" w:rsidRDefault="001B086E" w:rsidP="00AC388C">
            <w:pPr>
              <w:jc w:val="center"/>
              <w:rPr>
                <w:rFonts w:eastAsia="Calibri"/>
                <w:b/>
                <w:sz w:val="20"/>
                <w:szCs w:val="20"/>
              </w:rPr>
            </w:pPr>
            <w:r w:rsidRPr="00A20466">
              <w:rPr>
                <w:rFonts w:eastAsia="Calibri"/>
                <w:b/>
                <w:i/>
                <w:iCs/>
                <w:sz w:val="20"/>
                <w:szCs w:val="20"/>
              </w:rPr>
              <w:t xml:space="preserve">Means </w:t>
            </w:r>
            <w:r w:rsidRPr="00A20466">
              <w:rPr>
                <w:rFonts w:eastAsia="Calibri"/>
                <w:b/>
                <w:sz w:val="20"/>
                <w:szCs w:val="20"/>
              </w:rPr>
              <w:t>±</w:t>
            </w:r>
            <w:r w:rsidRPr="00A20466">
              <w:rPr>
                <w:rFonts w:eastAsia="Calibri"/>
                <w:b/>
                <w:i/>
                <w:iCs/>
                <w:sz w:val="20"/>
                <w:szCs w:val="20"/>
              </w:rPr>
              <w:t xml:space="preserve"> </w:t>
            </w:r>
            <w:r w:rsidRPr="00A20466">
              <w:rPr>
                <w:rFonts w:eastAsia="Calibri"/>
                <w:b/>
                <w:sz w:val="20"/>
                <w:szCs w:val="20"/>
              </w:rPr>
              <w:t>SD</w:t>
            </w:r>
          </w:p>
          <w:p w:rsidR="001B086E" w:rsidRPr="00A20466" w:rsidRDefault="001B086E" w:rsidP="00AC388C">
            <w:pPr>
              <w:jc w:val="center"/>
              <w:rPr>
                <w:rFonts w:eastAsia="Calibri"/>
                <w:b/>
                <w:sz w:val="20"/>
                <w:szCs w:val="20"/>
              </w:rPr>
            </w:pPr>
            <w:r w:rsidRPr="00A20466">
              <w:rPr>
                <w:rFonts w:eastAsia="Calibri"/>
                <w:b/>
                <w:sz w:val="20"/>
                <w:szCs w:val="20"/>
              </w:rPr>
              <w:t>(g/dL)</w:t>
            </w:r>
          </w:p>
        </w:tc>
        <w:tc>
          <w:tcPr>
            <w:tcW w:w="709" w:type="dxa"/>
            <w:tcBorders>
              <w:left w:val="nil"/>
              <w:right w:val="nil"/>
            </w:tcBorders>
            <w:vAlign w:val="center"/>
          </w:tcPr>
          <w:p w:rsidR="001B086E" w:rsidRPr="00A20466" w:rsidRDefault="001B086E" w:rsidP="00AC388C">
            <w:pPr>
              <w:jc w:val="center"/>
              <w:rPr>
                <w:rFonts w:eastAsia="Calibri"/>
                <w:b/>
                <w:sz w:val="20"/>
                <w:szCs w:val="20"/>
              </w:rPr>
            </w:pPr>
            <w:r w:rsidRPr="00A20466">
              <w:rPr>
                <w:rFonts w:eastAsia="Calibri"/>
                <w:b/>
                <w:sz w:val="20"/>
                <w:szCs w:val="20"/>
              </w:rPr>
              <w:t>N</w:t>
            </w:r>
          </w:p>
        </w:tc>
      </w:tr>
      <w:tr w:rsidR="001B086E" w:rsidRPr="00A20466" w:rsidTr="00AC388C">
        <w:trPr>
          <w:trHeight w:val="350"/>
          <w:jc w:val="center"/>
        </w:trPr>
        <w:tc>
          <w:tcPr>
            <w:tcW w:w="1316" w:type="dxa"/>
            <w:tcBorders>
              <w:left w:val="nil"/>
              <w:right w:val="nil"/>
            </w:tcBorders>
            <w:vAlign w:val="center"/>
          </w:tcPr>
          <w:p w:rsidR="001B086E" w:rsidRPr="00A20466" w:rsidRDefault="001B086E" w:rsidP="00AC388C">
            <w:pPr>
              <w:jc w:val="center"/>
              <w:rPr>
                <w:rFonts w:eastAsia="Calibri"/>
                <w:bCs/>
                <w:sz w:val="20"/>
                <w:szCs w:val="20"/>
              </w:rPr>
            </w:pPr>
            <w:r w:rsidRPr="00A20466">
              <w:rPr>
                <w:rFonts w:eastAsia="Calibri"/>
                <w:bCs/>
                <w:sz w:val="20"/>
                <w:szCs w:val="20"/>
              </w:rPr>
              <w:t>Hari ke-0</w:t>
            </w:r>
          </w:p>
        </w:tc>
        <w:tc>
          <w:tcPr>
            <w:tcW w:w="1129" w:type="dxa"/>
            <w:tcBorders>
              <w:left w:val="nil"/>
              <w:right w:val="nil"/>
            </w:tcBorders>
            <w:vAlign w:val="center"/>
          </w:tcPr>
          <w:p w:rsidR="001B086E" w:rsidRPr="00A20466" w:rsidRDefault="001B086E" w:rsidP="00AC388C">
            <w:pPr>
              <w:jc w:val="center"/>
              <w:rPr>
                <w:rFonts w:eastAsia="Calibri"/>
                <w:bCs/>
                <w:sz w:val="20"/>
                <w:szCs w:val="20"/>
              </w:rPr>
            </w:pPr>
            <w:r w:rsidRPr="00A20466">
              <w:rPr>
                <w:rFonts w:eastAsia="Calibri"/>
                <w:bCs/>
                <w:sz w:val="20"/>
                <w:szCs w:val="20"/>
              </w:rPr>
              <w:t>12,5</w:t>
            </w:r>
          </w:p>
        </w:tc>
        <w:tc>
          <w:tcPr>
            <w:tcW w:w="1134" w:type="dxa"/>
            <w:tcBorders>
              <w:left w:val="nil"/>
              <w:right w:val="nil"/>
            </w:tcBorders>
            <w:vAlign w:val="center"/>
          </w:tcPr>
          <w:p w:rsidR="001B086E" w:rsidRPr="00A20466" w:rsidRDefault="001B086E" w:rsidP="00AC388C">
            <w:pPr>
              <w:jc w:val="center"/>
              <w:rPr>
                <w:rFonts w:eastAsia="Calibri"/>
                <w:bCs/>
                <w:sz w:val="20"/>
                <w:szCs w:val="20"/>
              </w:rPr>
            </w:pPr>
            <w:r w:rsidRPr="00A20466">
              <w:rPr>
                <w:rFonts w:eastAsia="Calibri"/>
                <w:bCs/>
                <w:sz w:val="20"/>
                <w:szCs w:val="20"/>
              </w:rPr>
              <w:t>18,7</w:t>
            </w:r>
          </w:p>
        </w:tc>
        <w:tc>
          <w:tcPr>
            <w:tcW w:w="1706" w:type="dxa"/>
            <w:tcBorders>
              <w:left w:val="nil"/>
              <w:right w:val="nil"/>
            </w:tcBorders>
            <w:vAlign w:val="center"/>
          </w:tcPr>
          <w:p w:rsidR="001B086E" w:rsidRPr="00A20466" w:rsidRDefault="001B086E" w:rsidP="00AC388C">
            <w:pPr>
              <w:jc w:val="center"/>
              <w:rPr>
                <w:rFonts w:eastAsia="Calibri"/>
                <w:bCs/>
                <w:sz w:val="20"/>
                <w:szCs w:val="20"/>
              </w:rPr>
            </w:pPr>
            <w:r w:rsidRPr="00A20466">
              <w:rPr>
                <w:rFonts w:eastAsia="Calibri"/>
                <w:bCs/>
                <w:sz w:val="20"/>
                <w:szCs w:val="20"/>
              </w:rPr>
              <w:t>15,17 ± 1,646</w:t>
            </w:r>
          </w:p>
        </w:tc>
        <w:tc>
          <w:tcPr>
            <w:tcW w:w="709" w:type="dxa"/>
            <w:tcBorders>
              <w:left w:val="nil"/>
              <w:right w:val="nil"/>
            </w:tcBorders>
            <w:vAlign w:val="center"/>
          </w:tcPr>
          <w:p w:rsidR="001B086E" w:rsidRPr="00A20466" w:rsidRDefault="001B086E" w:rsidP="00AC388C">
            <w:pPr>
              <w:jc w:val="center"/>
              <w:rPr>
                <w:rFonts w:eastAsia="Calibri"/>
                <w:bCs/>
                <w:sz w:val="20"/>
                <w:szCs w:val="20"/>
              </w:rPr>
            </w:pPr>
            <w:r w:rsidRPr="00A20466">
              <w:rPr>
                <w:rFonts w:eastAsia="Calibri"/>
                <w:bCs/>
                <w:sz w:val="20"/>
                <w:szCs w:val="20"/>
              </w:rPr>
              <w:t>30</w:t>
            </w:r>
          </w:p>
        </w:tc>
      </w:tr>
      <w:tr w:rsidR="001B086E" w:rsidRPr="00A20466" w:rsidTr="00AC388C">
        <w:trPr>
          <w:trHeight w:val="350"/>
          <w:jc w:val="center"/>
        </w:trPr>
        <w:tc>
          <w:tcPr>
            <w:tcW w:w="1316" w:type="dxa"/>
            <w:tcBorders>
              <w:left w:val="nil"/>
              <w:right w:val="nil"/>
            </w:tcBorders>
            <w:vAlign w:val="center"/>
          </w:tcPr>
          <w:p w:rsidR="001B086E" w:rsidRPr="00A20466" w:rsidRDefault="001B086E" w:rsidP="00AC388C">
            <w:pPr>
              <w:jc w:val="center"/>
              <w:rPr>
                <w:rFonts w:eastAsia="Calibri"/>
                <w:bCs/>
                <w:sz w:val="20"/>
                <w:szCs w:val="20"/>
              </w:rPr>
            </w:pPr>
            <w:r w:rsidRPr="00A20466">
              <w:rPr>
                <w:rFonts w:eastAsia="Calibri"/>
                <w:bCs/>
                <w:sz w:val="20"/>
                <w:szCs w:val="20"/>
              </w:rPr>
              <w:t>Hari ke-7</w:t>
            </w:r>
          </w:p>
        </w:tc>
        <w:tc>
          <w:tcPr>
            <w:tcW w:w="1129" w:type="dxa"/>
            <w:tcBorders>
              <w:left w:val="nil"/>
              <w:right w:val="nil"/>
            </w:tcBorders>
            <w:vAlign w:val="center"/>
          </w:tcPr>
          <w:p w:rsidR="001B086E" w:rsidRPr="00A20466" w:rsidRDefault="001B086E" w:rsidP="00AC388C">
            <w:pPr>
              <w:jc w:val="center"/>
              <w:rPr>
                <w:rFonts w:eastAsia="Calibri"/>
                <w:bCs/>
                <w:sz w:val="20"/>
                <w:szCs w:val="20"/>
              </w:rPr>
            </w:pPr>
            <w:r w:rsidRPr="00A20466">
              <w:rPr>
                <w:rFonts w:eastAsia="Calibri"/>
                <w:bCs/>
                <w:sz w:val="20"/>
                <w:szCs w:val="20"/>
              </w:rPr>
              <w:t>8,1</w:t>
            </w:r>
          </w:p>
        </w:tc>
        <w:tc>
          <w:tcPr>
            <w:tcW w:w="1134" w:type="dxa"/>
            <w:tcBorders>
              <w:left w:val="nil"/>
              <w:right w:val="nil"/>
            </w:tcBorders>
            <w:vAlign w:val="center"/>
          </w:tcPr>
          <w:p w:rsidR="001B086E" w:rsidRPr="00A20466" w:rsidRDefault="001B086E" w:rsidP="00AC388C">
            <w:pPr>
              <w:jc w:val="center"/>
              <w:rPr>
                <w:rFonts w:eastAsia="Calibri"/>
                <w:bCs/>
                <w:sz w:val="20"/>
                <w:szCs w:val="20"/>
              </w:rPr>
            </w:pPr>
            <w:r w:rsidRPr="00A20466">
              <w:rPr>
                <w:rFonts w:eastAsia="Calibri"/>
                <w:bCs/>
                <w:sz w:val="20"/>
                <w:szCs w:val="20"/>
              </w:rPr>
              <w:t>18,0</w:t>
            </w:r>
          </w:p>
        </w:tc>
        <w:tc>
          <w:tcPr>
            <w:tcW w:w="1706" w:type="dxa"/>
            <w:tcBorders>
              <w:left w:val="nil"/>
              <w:right w:val="nil"/>
            </w:tcBorders>
            <w:vAlign w:val="center"/>
          </w:tcPr>
          <w:p w:rsidR="001B086E" w:rsidRPr="00A20466" w:rsidRDefault="001B086E" w:rsidP="00AC388C">
            <w:pPr>
              <w:jc w:val="center"/>
              <w:rPr>
                <w:rFonts w:eastAsia="Calibri"/>
                <w:bCs/>
                <w:sz w:val="20"/>
                <w:szCs w:val="20"/>
              </w:rPr>
            </w:pPr>
            <w:r w:rsidRPr="00A20466">
              <w:rPr>
                <w:rFonts w:eastAsia="Calibri"/>
                <w:bCs/>
                <w:sz w:val="20"/>
                <w:szCs w:val="20"/>
              </w:rPr>
              <w:t>12,10 ± 2,576</w:t>
            </w:r>
          </w:p>
        </w:tc>
        <w:tc>
          <w:tcPr>
            <w:tcW w:w="709" w:type="dxa"/>
            <w:tcBorders>
              <w:left w:val="nil"/>
              <w:right w:val="nil"/>
            </w:tcBorders>
            <w:vAlign w:val="center"/>
          </w:tcPr>
          <w:p w:rsidR="001B086E" w:rsidRPr="00A20466" w:rsidRDefault="001B086E" w:rsidP="00AC388C">
            <w:pPr>
              <w:jc w:val="center"/>
              <w:rPr>
                <w:rFonts w:eastAsia="Calibri"/>
                <w:bCs/>
                <w:sz w:val="20"/>
                <w:szCs w:val="20"/>
              </w:rPr>
            </w:pPr>
            <w:r w:rsidRPr="00A20466">
              <w:rPr>
                <w:rFonts w:eastAsia="Calibri"/>
                <w:bCs/>
                <w:sz w:val="20"/>
                <w:szCs w:val="20"/>
              </w:rPr>
              <w:t>30</w:t>
            </w:r>
          </w:p>
        </w:tc>
      </w:tr>
    </w:tbl>
    <w:p w:rsidR="001B086E" w:rsidRPr="0067030D" w:rsidRDefault="001B086E" w:rsidP="001B086E">
      <w:pPr>
        <w:spacing w:line="480" w:lineRule="auto"/>
        <w:jc w:val="both"/>
        <w:rPr>
          <w:rFonts w:eastAsia="Calibri"/>
          <w:bCs/>
          <w:sz w:val="20"/>
          <w:szCs w:val="18"/>
          <w:lang w:val="en-US" w:eastAsia="id-ID"/>
        </w:rPr>
      </w:pPr>
      <w:r>
        <w:rPr>
          <w:rFonts w:eastAsia="Calibri"/>
          <w:bCs/>
          <w:sz w:val="20"/>
          <w:szCs w:val="18"/>
          <w:lang w:val="en-US" w:eastAsia="id-ID"/>
        </w:rPr>
        <w:t xml:space="preserve">         </w:t>
      </w:r>
    </w:p>
    <w:p w:rsidR="001B086E" w:rsidRPr="00F20649" w:rsidRDefault="001B086E" w:rsidP="001B086E">
      <w:pPr>
        <w:spacing w:line="480" w:lineRule="auto"/>
        <w:ind w:firstLine="426"/>
        <w:jc w:val="both"/>
        <w:rPr>
          <w:rFonts w:eastAsia="Calibri"/>
          <w:color w:val="000000"/>
          <w:lang w:val="sv-SE"/>
        </w:rPr>
      </w:pPr>
      <w:r w:rsidRPr="00D62708">
        <w:rPr>
          <w:rFonts w:eastAsia="Calibri"/>
          <w:color w:val="000000"/>
        </w:rPr>
        <w:t xml:space="preserve">Berdasarkan Tabel </w:t>
      </w:r>
      <w:r>
        <w:rPr>
          <w:rFonts w:eastAsia="Calibri"/>
          <w:color w:val="000000"/>
        </w:rPr>
        <w:t>4.1</w:t>
      </w:r>
      <w:r w:rsidRPr="00D62708">
        <w:rPr>
          <w:rFonts w:eastAsia="Calibri"/>
          <w:color w:val="000000"/>
        </w:rPr>
        <w:t xml:space="preserve">, kadar hemoglobin pada kantong darah PRC mengalami penurunan seiring dengan bertambahnya masa simpan. </w:t>
      </w:r>
      <w:r w:rsidRPr="00D62708">
        <w:rPr>
          <w:rFonts w:eastAsia="Calibri"/>
          <w:color w:val="000000"/>
          <w:lang w:val="sv-SE"/>
        </w:rPr>
        <w:t>Pada hari ke-0, kadar hemoglobin berada pada rentang 12,5 g/dL hingga 18,7 g/dL dengan nilai rata-rata sebesar 15,17 ± 1,646 g/dL. Sedangkan pada hari ke-7, nilai minimum menurun menjadi 8,1 g/dL dan maksimum menjadi 18,0 g/dL, dengan rata-rata sebesar 12,10 ± 2,576 g/dL.</w:t>
      </w:r>
      <w:r>
        <w:rPr>
          <w:rFonts w:eastAsia="Calibri"/>
          <w:color w:val="000000"/>
          <w:lang w:val="sv-SE"/>
        </w:rPr>
        <w:t xml:space="preserve"> </w:t>
      </w:r>
    </w:p>
    <w:p w:rsidR="001B086E" w:rsidRPr="0067030D" w:rsidRDefault="001B086E" w:rsidP="001B086E">
      <w:pPr>
        <w:numPr>
          <w:ilvl w:val="0"/>
          <w:numId w:val="8"/>
        </w:numPr>
        <w:spacing w:line="480" w:lineRule="auto"/>
        <w:ind w:left="426" w:hanging="426"/>
        <w:contextualSpacing/>
        <w:jc w:val="both"/>
        <w:rPr>
          <w:rFonts w:eastAsia="Calibri"/>
          <w:bCs/>
          <w:lang w:val="sv-SE" w:eastAsia="id-ID"/>
        </w:rPr>
      </w:pPr>
      <w:bookmarkStart w:id="8" w:name="_Hlk212981000"/>
      <w:bookmarkStart w:id="9" w:name="_Toc102515093"/>
      <w:bookmarkStart w:id="10" w:name="_Toc105050440"/>
      <w:bookmarkStart w:id="11" w:name="_Toc212300926"/>
      <w:r>
        <w:rPr>
          <w:rFonts w:eastAsia="Calibri"/>
          <w:bCs/>
          <w:lang w:val="sv-SE" w:eastAsia="id-ID"/>
        </w:rPr>
        <w:t>K</w:t>
      </w:r>
      <w:r w:rsidRPr="0067030D">
        <w:rPr>
          <w:rFonts w:eastAsia="Calibri"/>
          <w:bCs/>
          <w:lang w:val="sv-SE" w:eastAsia="id-ID"/>
        </w:rPr>
        <w:t xml:space="preserve">adar </w:t>
      </w:r>
      <w:r>
        <w:rPr>
          <w:rFonts w:eastAsia="Calibri"/>
          <w:bCs/>
          <w:lang w:val="sv-SE" w:eastAsia="id-ID"/>
        </w:rPr>
        <w:t>Hematokrit</w:t>
      </w:r>
      <w:r w:rsidRPr="0067030D">
        <w:rPr>
          <w:rFonts w:eastAsia="Calibri"/>
          <w:bCs/>
          <w:lang w:val="sv-SE" w:eastAsia="id-ID"/>
        </w:rPr>
        <w:t xml:space="preserve"> </w:t>
      </w:r>
      <w:r>
        <w:rPr>
          <w:rFonts w:eastAsia="Calibri"/>
          <w:bCs/>
          <w:lang w:val="sv-SE" w:eastAsia="id-ID"/>
        </w:rPr>
        <w:t xml:space="preserve">Kantong Darah PRC Pada Masa Simpan </w:t>
      </w:r>
    </w:p>
    <w:p w:rsidR="001B086E" w:rsidRDefault="001B086E" w:rsidP="001B086E">
      <w:pPr>
        <w:spacing w:line="480" w:lineRule="auto"/>
        <w:ind w:firstLine="426"/>
        <w:jc w:val="both"/>
        <w:rPr>
          <w:rFonts w:eastAsia="Calibri"/>
          <w:bCs/>
          <w:lang w:val="sv-SE" w:eastAsia="id-ID"/>
        </w:rPr>
      </w:pPr>
      <w:r w:rsidRPr="0067030D">
        <w:rPr>
          <w:rFonts w:eastAsia="Calibri"/>
          <w:bCs/>
          <w:lang w:val="sv-SE" w:eastAsia="id-ID"/>
        </w:rPr>
        <w:t xml:space="preserve">Berdasarkan hasil uji analisis data kadar </w:t>
      </w:r>
      <w:r>
        <w:rPr>
          <w:rFonts w:eastAsia="Calibri"/>
          <w:bCs/>
          <w:lang w:val="sv-SE" w:eastAsia="id-ID"/>
        </w:rPr>
        <w:t>hematokrit pada masa simpan</w:t>
      </w:r>
      <w:r w:rsidRPr="0067030D">
        <w:rPr>
          <w:rFonts w:eastAsia="Calibri"/>
          <w:bCs/>
          <w:lang w:val="sv-SE" w:eastAsia="id-ID"/>
        </w:rPr>
        <w:t xml:space="preserve">, </w:t>
      </w:r>
      <w:r>
        <w:rPr>
          <w:rFonts w:eastAsia="Calibri"/>
          <w:bCs/>
          <w:lang w:val="sv-SE" w:eastAsia="id-ID"/>
        </w:rPr>
        <w:t>didapatkan hasil yang ditampilkan melalui tabel dibawah ini</w:t>
      </w:r>
      <w:r w:rsidRPr="0067030D">
        <w:rPr>
          <w:rFonts w:eastAsia="Calibri"/>
          <w:bCs/>
          <w:lang w:val="sv-SE" w:eastAsia="id-ID"/>
        </w:rPr>
        <w:t>:</w:t>
      </w:r>
    </w:p>
    <w:p w:rsidR="001B086E" w:rsidRPr="00423539" w:rsidRDefault="001B086E" w:rsidP="001B086E">
      <w:pPr>
        <w:pStyle w:val="Caption"/>
        <w:jc w:val="center"/>
        <w:rPr>
          <w:rFonts w:eastAsia="Calibri"/>
          <w:i/>
          <w:iCs/>
          <w:color w:val="000000" w:themeColor="text1"/>
          <w:sz w:val="24"/>
          <w:szCs w:val="24"/>
          <w:lang w:val="sv-SE" w:eastAsia="id-ID"/>
        </w:rPr>
      </w:pPr>
      <w:bookmarkStart w:id="12" w:name="_Toc225695872"/>
      <w:bookmarkEnd w:id="8"/>
      <w:r w:rsidRPr="00F35BF5">
        <w:rPr>
          <w:color w:val="000000" w:themeColor="text1"/>
          <w:sz w:val="24"/>
          <w:szCs w:val="24"/>
          <w:lang w:val="sv-SE"/>
        </w:rPr>
        <w:t>Tabel 4.</w:t>
      </w:r>
      <w:r w:rsidRPr="00423539">
        <w:rPr>
          <w:i/>
          <w:iCs/>
          <w:color w:val="000000" w:themeColor="text1"/>
          <w:sz w:val="24"/>
          <w:szCs w:val="24"/>
        </w:rPr>
        <w:fldChar w:fldCharType="begin"/>
      </w:r>
      <w:r w:rsidRPr="00F35BF5">
        <w:rPr>
          <w:color w:val="000000" w:themeColor="text1"/>
          <w:sz w:val="24"/>
          <w:szCs w:val="24"/>
          <w:lang w:val="sv-SE"/>
        </w:rPr>
        <w:instrText xml:space="preserve"> SEQ Tabel_4. \* ARABIC </w:instrText>
      </w:r>
      <w:r w:rsidRPr="00423539">
        <w:rPr>
          <w:i/>
          <w:iCs/>
          <w:color w:val="000000" w:themeColor="text1"/>
          <w:sz w:val="24"/>
          <w:szCs w:val="24"/>
        </w:rPr>
        <w:fldChar w:fldCharType="separate"/>
      </w:r>
      <w:r w:rsidRPr="00F35BF5">
        <w:rPr>
          <w:noProof/>
          <w:color w:val="000000" w:themeColor="text1"/>
          <w:sz w:val="24"/>
          <w:szCs w:val="24"/>
          <w:lang w:val="sv-SE"/>
        </w:rPr>
        <w:t>2</w:t>
      </w:r>
      <w:bookmarkEnd w:id="12"/>
      <w:r w:rsidRPr="00423539">
        <w:rPr>
          <w:i/>
          <w:iCs/>
          <w:color w:val="000000" w:themeColor="text1"/>
          <w:sz w:val="24"/>
          <w:szCs w:val="24"/>
        </w:rPr>
        <w:fldChar w:fldCharType="end"/>
      </w:r>
      <w:bookmarkEnd w:id="9"/>
      <w:bookmarkEnd w:id="10"/>
      <w:bookmarkEnd w:id="11"/>
    </w:p>
    <w:p w:rsidR="001B086E" w:rsidRPr="00423539" w:rsidRDefault="001B086E" w:rsidP="001B086E">
      <w:pPr>
        <w:keepNext/>
        <w:jc w:val="center"/>
        <w:rPr>
          <w:rFonts w:eastAsia="Calibri"/>
          <w:iCs/>
          <w:lang w:val="sv-SE" w:eastAsia="id-ID"/>
        </w:rPr>
      </w:pPr>
      <w:r w:rsidRPr="00423539">
        <w:rPr>
          <w:rFonts w:eastAsia="Calibri"/>
          <w:lang w:val="sv-SE" w:eastAsia="id-ID"/>
        </w:rPr>
        <w:t>Kadar Hematokrit Kantong Darah PRC Pada Masa Simpan</w:t>
      </w:r>
    </w:p>
    <w:p w:rsidR="001B086E" w:rsidRPr="00B76B79" w:rsidRDefault="001B086E" w:rsidP="001B086E">
      <w:pPr>
        <w:spacing w:line="276" w:lineRule="auto"/>
        <w:ind w:left="1146"/>
        <w:contextualSpacing/>
        <w:jc w:val="both"/>
        <w:rPr>
          <w:rFonts w:eastAsia="Calibri"/>
          <w:b/>
          <w:lang w:val="sv-SE" w:eastAsia="id-ID"/>
        </w:rPr>
      </w:pPr>
    </w:p>
    <w:tbl>
      <w:tblPr>
        <w:tblStyle w:val="TableGrid2"/>
        <w:tblW w:w="0" w:type="auto"/>
        <w:jc w:val="center"/>
        <w:tblLook w:val="04A0" w:firstRow="1" w:lastRow="0" w:firstColumn="1" w:lastColumn="0" w:noHBand="0" w:noVBand="1"/>
      </w:tblPr>
      <w:tblGrid>
        <w:gridCol w:w="1316"/>
        <w:gridCol w:w="1129"/>
        <w:gridCol w:w="1134"/>
        <w:gridCol w:w="1706"/>
        <w:gridCol w:w="709"/>
      </w:tblGrid>
      <w:tr w:rsidR="001B086E" w:rsidRPr="00766AA3" w:rsidTr="00AC388C">
        <w:trPr>
          <w:trHeight w:val="420"/>
          <w:jc w:val="center"/>
        </w:trPr>
        <w:tc>
          <w:tcPr>
            <w:tcW w:w="1316" w:type="dxa"/>
            <w:tcBorders>
              <w:left w:val="nil"/>
              <w:right w:val="nil"/>
            </w:tcBorders>
            <w:vAlign w:val="center"/>
          </w:tcPr>
          <w:p w:rsidR="001B086E" w:rsidRPr="00766AA3" w:rsidRDefault="001B086E" w:rsidP="00AC388C">
            <w:pPr>
              <w:jc w:val="center"/>
              <w:rPr>
                <w:rFonts w:eastAsia="Calibri"/>
                <w:b/>
                <w:sz w:val="20"/>
                <w:szCs w:val="20"/>
              </w:rPr>
            </w:pPr>
            <w:r w:rsidRPr="00766AA3">
              <w:rPr>
                <w:rFonts w:eastAsia="Calibri"/>
                <w:b/>
                <w:sz w:val="20"/>
                <w:szCs w:val="20"/>
              </w:rPr>
              <w:t>Masa Simpan</w:t>
            </w:r>
          </w:p>
        </w:tc>
        <w:tc>
          <w:tcPr>
            <w:tcW w:w="1129" w:type="dxa"/>
            <w:tcBorders>
              <w:left w:val="nil"/>
              <w:bottom w:val="single" w:sz="4" w:space="0" w:color="auto"/>
              <w:right w:val="nil"/>
            </w:tcBorders>
            <w:vAlign w:val="center"/>
          </w:tcPr>
          <w:p w:rsidR="001B086E" w:rsidRPr="00766AA3" w:rsidRDefault="001B086E" w:rsidP="00AC388C">
            <w:pPr>
              <w:jc w:val="center"/>
              <w:rPr>
                <w:rFonts w:eastAsia="Calibri"/>
                <w:b/>
                <w:sz w:val="20"/>
                <w:szCs w:val="20"/>
              </w:rPr>
            </w:pPr>
            <w:r w:rsidRPr="00766AA3">
              <w:rPr>
                <w:rFonts w:eastAsia="Calibri"/>
                <w:b/>
                <w:sz w:val="20"/>
                <w:szCs w:val="20"/>
              </w:rPr>
              <w:t>Min</w:t>
            </w:r>
          </w:p>
          <w:p w:rsidR="001B086E" w:rsidRPr="00766AA3" w:rsidRDefault="001B086E" w:rsidP="00AC388C">
            <w:pPr>
              <w:jc w:val="center"/>
              <w:rPr>
                <w:rFonts w:eastAsia="Calibri"/>
                <w:b/>
                <w:sz w:val="20"/>
                <w:szCs w:val="20"/>
              </w:rPr>
            </w:pPr>
            <w:r w:rsidRPr="00766AA3">
              <w:rPr>
                <w:rFonts w:eastAsia="Calibri"/>
                <w:b/>
                <w:sz w:val="20"/>
                <w:szCs w:val="20"/>
              </w:rPr>
              <w:t>(%)</w:t>
            </w:r>
          </w:p>
        </w:tc>
        <w:tc>
          <w:tcPr>
            <w:tcW w:w="1134" w:type="dxa"/>
            <w:tcBorders>
              <w:left w:val="nil"/>
              <w:right w:val="nil"/>
            </w:tcBorders>
            <w:vAlign w:val="center"/>
          </w:tcPr>
          <w:p w:rsidR="001B086E" w:rsidRPr="00766AA3" w:rsidRDefault="001B086E" w:rsidP="00AC388C">
            <w:pPr>
              <w:jc w:val="center"/>
              <w:rPr>
                <w:rFonts w:eastAsia="Calibri"/>
                <w:b/>
                <w:sz w:val="20"/>
                <w:szCs w:val="20"/>
              </w:rPr>
            </w:pPr>
            <w:r w:rsidRPr="00766AA3">
              <w:rPr>
                <w:rFonts w:eastAsia="Calibri"/>
                <w:b/>
                <w:sz w:val="20"/>
                <w:szCs w:val="20"/>
              </w:rPr>
              <w:t>Max</w:t>
            </w:r>
          </w:p>
          <w:p w:rsidR="001B086E" w:rsidRPr="00766AA3" w:rsidRDefault="001B086E" w:rsidP="00AC388C">
            <w:pPr>
              <w:jc w:val="center"/>
              <w:rPr>
                <w:rFonts w:eastAsia="Calibri"/>
                <w:b/>
                <w:sz w:val="20"/>
                <w:szCs w:val="20"/>
              </w:rPr>
            </w:pPr>
            <w:r w:rsidRPr="00766AA3">
              <w:rPr>
                <w:rFonts w:eastAsia="Calibri"/>
                <w:b/>
                <w:sz w:val="20"/>
                <w:szCs w:val="20"/>
              </w:rPr>
              <w:t>(%)</w:t>
            </w:r>
          </w:p>
        </w:tc>
        <w:tc>
          <w:tcPr>
            <w:tcW w:w="1706" w:type="dxa"/>
            <w:tcBorders>
              <w:left w:val="nil"/>
              <w:bottom w:val="single" w:sz="4" w:space="0" w:color="auto"/>
              <w:right w:val="nil"/>
            </w:tcBorders>
            <w:vAlign w:val="center"/>
          </w:tcPr>
          <w:p w:rsidR="001B086E" w:rsidRPr="00766AA3" w:rsidRDefault="001B086E" w:rsidP="00AC388C">
            <w:pPr>
              <w:jc w:val="center"/>
              <w:rPr>
                <w:rFonts w:eastAsia="Calibri"/>
                <w:b/>
                <w:sz w:val="20"/>
                <w:szCs w:val="20"/>
              </w:rPr>
            </w:pPr>
            <w:r w:rsidRPr="00766AA3">
              <w:rPr>
                <w:rFonts w:eastAsia="Calibri"/>
                <w:b/>
                <w:i/>
                <w:iCs/>
                <w:sz w:val="20"/>
                <w:szCs w:val="20"/>
              </w:rPr>
              <w:t xml:space="preserve">Means </w:t>
            </w:r>
            <w:r w:rsidRPr="00766AA3">
              <w:rPr>
                <w:rFonts w:eastAsia="Calibri"/>
                <w:b/>
                <w:sz w:val="20"/>
                <w:szCs w:val="20"/>
              </w:rPr>
              <w:t>±</w:t>
            </w:r>
            <w:r w:rsidRPr="00766AA3">
              <w:rPr>
                <w:rFonts w:eastAsia="Calibri"/>
                <w:b/>
                <w:i/>
                <w:iCs/>
                <w:sz w:val="20"/>
                <w:szCs w:val="20"/>
              </w:rPr>
              <w:t xml:space="preserve"> </w:t>
            </w:r>
            <w:r w:rsidRPr="00766AA3">
              <w:rPr>
                <w:rFonts w:eastAsia="Calibri"/>
                <w:b/>
                <w:sz w:val="20"/>
                <w:szCs w:val="20"/>
              </w:rPr>
              <w:t>SD</w:t>
            </w:r>
          </w:p>
          <w:p w:rsidR="001B086E" w:rsidRPr="00766AA3" w:rsidRDefault="001B086E" w:rsidP="00AC388C">
            <w:pPr>
              <w:jc w:val="center"/>
              <w:rPr>
                <w:rFonts w:eastAsia="Calibri"/>
                <w:b/>
                <w:sz w:val="20"/>
                <w:szCs w:val="20"/>
              </w:rPr>
            </w:pPr>
            <w:r w:rsidRPr="00766AA3">
              <w:rPr>
                <w:rFonts w:eastAsia="Calibri"/>
                <w:b/>
                <w:sz w:val="20"/>
                <w:szCs w:val="20"/>
              </w:rPr>
              <w:t>(%)</w:t>
            </w:r>
          </w:p>
        </w:tc>
        <w:tc>
          <w:tcPr>
            <w:tcW w:w="709" w:type="dxa"/>
            <w:tcBorders>
              <w:left w:val="nil"/>
              <w:right w:val="nil"/>
            </w:tcBorders>
            <w:vAlign w:val="center"/>
          </w:tcPr>
          <w:p w:rsidR="001B086E" w:rsidRPr="00766AA3" w:rsidRDefault="001B086E" w:rsidP="00AC388C">
            <w:pPr>
              <w:jc w:val="center"/>
              <w:rPr>
                <w:rFonts w:eastAsia="Calibri"/>
                <w:b/>
                <w:sz w:val="20"/>
                <w:szCs w:val="20"/>
              </w:rPr>
            </w:pPr>
            <w:r w:rsidRPr="00766AA3">
              <w:rPr>
                <w:rFonts w:eastAsia="Calibri"/>
                <w:b/>
                <w:sz w:val="20"/>
                <w:szCs w:val="20"/>
              </w:rPr>
              <w:t>N</w:t>
            </w:r>
          </w:p>
        </w:tc>
      </w:tr>
      <w:tr w:rsidR="001B086E" w:rsidRPr="00766AA3" w:rsidTr="00AC388C">
        <w:trPr>
          <w:trHeight w:val="323"/>
          <w:jc w:val="center"/>
        </w:trPr>
        <w:tc>
          <w:tcPr>
            <w:tcW w:w="1316"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Hari ke-0</w:t>
            </w:r>
          </w:p>
        </w:tc>
        <w:tc>
          <w:tcPr>
            <w:tcW w:w="1129"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37,0</w:t>
            </w:r>
          </w:p>
        </w:tc>
        <w:tc>
          <w:tcPr>
            <w:tcW w:w="1134"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61,0</w:t>
            </w:r>
          </w:p>
        </w:tc>
        <w:tc>
          <w:tcPr>
            <w:tcW w:w="1706"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44,80 ± 5,695</w:t>
            </w:r>
          </w:p>
        </w:tc>
        <w:tc>
          <w:tcPr>
            <w:tcW w:w="709"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30</w:t>
            </w:r>
          </w:p>
        </w:tc>
      </w:tr>
      <w:tr w:rsidR="001B086E" w:rsidRPr="00766AA3" w:rsidTr="00AC388C">
        <w:trPr>
          <w:trHeight w:val="341"/>
          <w:jc w:val="center"/>
        </w:trPr>
        <w:tc>
          <w:tcPr>
            <w:tcW w:w="1316"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Hari ke-7</w:t>
            </w:r>
          </w:p>
        </w:tc>
        <w:tc>
          <w:tcPr>
            <w:tcW w:w="1129"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24,0</w:t>
            </w:r>
          </w:p>
        </w:tc>
        <w:tc>
          <w:tcPr>
            <w:tcW w:w="1134"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53,0</w:t>
            </w:r>
          </w:p>
        </w:tc>
        <w:tc>
          <w:tcPr>
            <w:tcW w:w="1706"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36,06 ± 7,408</w:t>
            </w:r>
          </w:p>
        </w:tc>
        <w:tc>
          <w:tcPr>
            <w:tcW w:w="709"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30</w:t>
            </w:r>
          </w:p>
        </w:tc>
      </w:tr>
    </w:tbl>
    <w:p w:rsidR="001B086E" w:rsidRDefault="001B086E" w:rsidP="001B086E">
      <w:pPr>
        <w:spacing w:line="480" w:lineRule="auto"/>
        <w:ind w:firstLine="425"/>
        <w:jc w:val="both"/>
        <w:rPr>
          <w:rFonts w:eastAsia="Calibri"/>
          <w:bCs/>
          <w:sz w:val="20"/>
          <w:szCs w:val="18"/>
          <w:lang w:val="fi-FI" w:eastAsia="id-ID"/>
        </w:rPr>
      </w:pPr>
    </w:p>
    <w:p w:rsidR="001B086E" w:rsidRDefault="001B086E" w:rsidP="001B086E">
      <w:pPr>
        <w:spacing w:line="480" w:lineRule="auto"/>
        <w:ind w:firstLine="425"/>
        <w:jc w:val="both"/>
        <w:rPr>
          <w:rFonts w:eastAsia="Calibri"/>
          <w:color w:val="000000"/>
          <w:lang w:val="sv-SE"/>
        </w:rPr>
      </w:pPr>
      <w:r w:rsidRPr="00D62708">
        <w:rPr>
          <w:rFonts w:eastAsia="Calibri"/>
          <w:color w:val="000000"/>
          <w:lang w:val="fi-FI"/>
        </w:rPr>
        <w:lastRenderedPageBreak/>
        <w:t>Berdasarkan Tabel 4</w:t>
      </w:r>
      <w:r>
        <w:rPr>
          <w:rFonts w:eastAsia="Calibri"/>
          <w:color w:val="000000"/>
          <w:lang w:val="fi-FI"/>
        </w:rPr>
        <w:t>.2</w:t>
      </w:r>
      <w:r w:rsidRPr="00D62708">
        <w:rPr>
          <w:rFonts w:eastAsia="Calibri"/>
          <w:color w:val="000000"/>
          <w:lang w:val="fi-FI"/>
        </w:rPr>
        <w:t xml:space="preserve">, kadar hematokrit pada kantong darah PRC menunjukkan penurunan seiring dengan bertambahnya masa simpan. </w:t>
      </w:r>
      <w:r w:rsidRPr="00D62708">
        <w:rPr>
          <w:rFonts w:eastAsia="Calibri"/>
          <w:color w:val="000000"/>
          <w:lang w:val="sv-SE"/>
        </w:rPr>
        <w:t xml:space="preserve">Pada hari ke-0, kadar hematokrit berada pada rentang 37,0% hingga 61,0% dengan nilai rata-rata sebesar 44,80 ± 5,695%. </w:t>
      </w:r>
      <w:r w:rsidRPr="00D62708">
        <w:rPr>
          <w:rFonts w:eastAsia="Calibri"/>
          <w:color w:val="000000"/>
          <w:lang w:val="fi-FI"/>
        </w:rPr>
        <w:t>Sedangkan pada hari ke-7, terjadi penurunan nilai minimum menjadi 24,0% dan maksimum menjadi 53,0%, dengan rata-rata sebesar 36,06 ± 7,408%</w:t>
      </w:r>
      <w:r w:rsidRPr="00D62708">
        <w:rPr>
          <w:rFonts w:eastAsia="Calibri"/>
          <w:color w:val="000000"/>
          <w:lang w:val="sv-SE"/>
        </w:rPr>
        <w:t xml:space="preserve">. </w:t>
      </w:r>
    </w:p>
    <w:p w:rsidR="001B086E" w:rsidRPr="00D128E2" w:rsidRDefault="001B086E" w:rsidP="001B086E">
      <w:pPr>
        <w:numPr>
          <w:ilvl w:val="0"/>
          <w:numId w:val="5"/>
        </w:numPr>
        <w:spacing w:after="160" w:line="480" w:lineRule="auto"/>
        <w:contextualSpacing/>
        <w:rPr>
          <w:rFonts w:eastAsia="Calibri"/>
          <w:b/>
          <w:bCs/>
          <w:kern w:val="2"/>
          <w:lang w:val="id-ID"/>
          <w14:ligatures w14:val="standardContextual"/>
        </w:rPr>
      </w:pPr>
      <w:r>
        <w:rPr>
          <w:rFonts w:eastAsia="Calibri"/>
          <w:b/>
          <w:bCs/>
          <w:kern w:val="2"/>
          <w:lang w:val="id-ID"/>
          <w14:ligatures w14:val="standardContextual"/>
        </w:rPr>
        <w:t>Analisis Data</w:t>
      </w:r>
    </w:p>
    <w:p w:rsidR="001B086E" w:rsidRPr="0067030D" w:rsidRDefault="001B086E" w:rsidP="001B086E">
      <w:pPr>
        <w:numPr>
          <w:ilvl w:val="0"/>
          <w:numId w:val="9"/>
        </w:numPr>
        <w:spacing w:line="480" w:lineRule="auto"/>
        <w:ind w:left="426" w:hanging="426"/>
        <w:contextualSpacing/>
        <w:jc w:val="both"/>
        <w:rPr>
          <w:rFonts w:eastAsia="Calibri"/>
          <w:bCs/>
          <w:lang w:val="sv-SE" w:eastAsia="id-ID"/>
        </w:rPr>
      </w:pPr>
      <w:r w:rsidRPr="0067030D">
        <w:rPr>
          <w:rFonts w:eastAsia="Calibri"/>
          <w:bCs/>
          <w:lang w:val="sv-SE" w:eastAsia="id-ID"/>
        </w:rPr>
        <w:t>Uji Normalitas</w:t>
      </w:r>
    </w:p>
    <w:p w:rsidR="001B086E" w:rsidRDefault="001B086E" w:rsidP="001B086E">
      <w:pPr>
        <w:spacing w:line="480" w:lineRule="auto"/>
        <w:ind w:firstLine="426"/>
        <w:jc w:val="both"/>
        <w:rPr>
          <w:rFonts w:eastAsia="Calibri"/>
          <w:bCs/>
          <w:lang w:val="sv-SE" w:eastAsia="id-ID"/>
        </w:rPr>
      </w:pPr>
      <w:r>
        <w:rPr>
          <w:rFonts w:eastAsia="Calibri"/>
          <w:bCs/>
          <w:lang w:val="sv-SE" w:eastAsia="id-ID"/>
        </w:rPr>
        <w:t>Pengujian ini dilaksanakan dengan tujuan untuk mengevaluasi apakah data penelitian mampu terdistribusi secara normal ataukah tidak. Data penelitian tersebut didapatkan dari pemeriksaan kadar hemoglobin dan hematokrit sebelum dan sesudah penyimpanan. Uji normalitas dalam studi ini sendiri melibatkan pendekatan Shapiro-Wilk yang hasil pengujiannya ditampilkan melalui tabel dibawah ini:</w:t>
      </w:r>
    </w:p>
    <w:p w:rsidR="001B086E" w:rsidRPr="00423539" w:rsidRDefault="001B086E" w:rsidP="001B086E">
      <w:pPr>
        <w:jc w:val="center"/>
        <w:rPr>
          <w:rFonts w:eastAsia="Calibri"/>
          <w:i/>
          <w:iCs/>
          <w:color w:val="000000" w:themeColor="text1"/>
          <w:lang w:val="fi-FI" w:eastAsia="id-ID"/>
        </w:rPr>
      </w:pPr>
      <w:bookmarkStart w:id="13" w:name="_Toc225695873"/>
      <w:r w:rsidRPr="00423539">
        <w:rPr>
          <w:color w:val="000000" w:themeColor="text1"/>
        </w:rPr>
        <w:t>Tabel 4.</w:t>
      </w:r>
      <w:r w:rsidRPr="00423539">
        <w:rPr>
          <w:i/>
          <w:iCs/>
          <w:color w:val="000000" w:themeColor="text1"/>
        </w:rPr>
        <w:fldChar w:fldCharType="begin"/>
      </w:r>
      <w:r w:rsidRPr="00423539">
        <w:rPr>
          <w:color w:val="000000" w:themeColor="text1"/>
        </w:rPr>
        <w:instrText xml:space="preserve"> SEQ Tabel_4. \* ARABIC </w:instrText>
      </w:r>
      <w:r w:rsidRPr="00423539">
        <w:rPr>
          <w:i/>
          <w:iCs/>
          <w:color w:val="000000" w:themeColor="text1"/>
        </w:rPr>
        <w:fldChar w:fldCharType="separate"/>
      </w:r>
      <w:r>
        <w:rPr>
          <w:noProof/>
          <w:color w:val="000000" w:themeColor="text1"/>
        </w:rPr>
        <w:t>3</w:t>
      </w:r>
      <w:bookmarkEnd w:id="13"/>
      <w:r w:rsidRPr="00423539">
        <w:rPr>
          <w:i/>
          <w:iCs/>
          <w:color w:val="000000" w:themeColor="text1"/>
        </w:rPr>
        <w:fldChar w:fldCharType="end"/>
      </w:r>
    </w:p>
    <w:p w:rsidR="001B086E" w:rsidRPr="00423539" w:rsidRDefault="001B086E" w:rsidP="001B086E">
      <w:pPr>
        <w:spacing w:line="360" w:lineRule="auto"/>
        <w:jc w:val="center"/>
        <w:rPr>
          <w:rFonts w:eastAsia="Calibri"/>
          <w:lang w:val="sv-SE" w:eastAsia="id-ID"/>
        </w:rPr>
      </w:pPr>
      <w:r w:rsidRPr="00423539">
        <w:rPr>
          <w:rFonts w:eastAsia="Calibri"/>
          <w:lang w:val="sv-SE" w:eastAsia="id-ID"/>
        </w:rPr>
        <w:t xml:space="preserve">Uji </w:t>
      </w:r>
      <w:r w:rsidRPr="00423539">
        <w:rPr>
          <w:rFonts w:eastAsia="Calibri"/>
          <w:i/>
          <w:iCs/>
          <w:lang w:val="sv-SE" w:eastAsia="id-ID"/>
        </w:rPr>
        <w:t>Shapiro wilk</w:t>
      </w:r>
    </w:p>
    <w:tbl>
      <w:tblPr>
        <w:tblStyle w:val="TableGrid4"/>
        <w:tblW w:w="0" w:type="auto"/>
        <w:jc w:val="center"/>
        <w:tblBorders>
          <w:left w:val="none" w:sz="0" w:space="0" w:color="auto"/>
          <w:right w:val="none" w:sz="0" w:space="0" w:color="auto"/>
        </w:tblBorders>
        <w:tblLook w:val="04A0" w:firstRow="1" w:lastRow="0" w:firstColumn="1" w:lastColumn="0" w:noHBand="0" w:noVBand="1"/>
      </w:tblPr>
      <w:tblGrid>
        <w:gridCol w:w="1701"/>
        <w:gridCol w:w="2127"/>
        <w:gridCol w:w="2971"/>
      </w:tblGrid>
      <w:tr w:rsidR="001B086E" w:rsidRPr="00766AA3" w:rsidTr="00AC388C">
        <w:trPr>
          <w:jc w:val="center"/>
        </w:trPr>
        <w:tc>
          <w:tcPr>
            <w:tcW w:w="3828" w:type="dxa"/>
            <w:gridSpan w:val="2"/>
            <w:tcBorders>
              <w:right w:val="nil"/>
            </w:tcBorders>
            <w:vAlign w:val="center"/>
          </w:tcPr>
          <w:p w:rsidR="001B086E" w:rsidRPr="00766AA3" w:rsidRDefault="001B086E" w:rsidP="00AC388C">
            <w:pPr>
              <w:jc w:val="center"/>
              <w:rPr>
                <w:rFonts w:eastAsia="Calibri"/>
                <w:b/>
                <w:sz w:val="20"/>
                <w:szCs w:val="20"/>
              </w:rPr>
            </w:pPr>
            <w:r w:rsidRPr="00766AA3">
              <w:rPr>
                <w:rFonts w:eastAsia="Calibri"/>
                <w:b/>
                <w:sz w:val="20"/>
                <w:szCs w:val="20"/>
              </w:rPr>
              <w:t>Variabel</w:t>
            </w:r>
          </w:p>
        </w:tc>
        <w:tc>
          <w:tcPr>
            <w:tcW w:w="2971" w:type="dxa"/>
            <w:tcBorders>
              <w:left w:val="nil"/>
            </w:tcBorders>
            <w:vAlign w:val="center"/>
          </w:tcPr>
          <w:p w:rsidR="001B086E" w:rsidRPr="00766AA3" w:rsidRDefault="001B086E" w:rsidP="00AC388C">
            <w:pPr>
              <w:jc w:val="center"/>
              <w:rPr>
                <w:rFonts w:eastAsia="Calibri"/>
                <w:b/>
                <w:sz w:val="20"/>
                <w:szCs w:val="20"/>
              </w:rPr>
            </w:pPr>
            <w:r w:rsidRPr="00766AA3">
              <w:rPr>
                <w:rFonts w:eastAsia="Calibri"/>
                <w:b/>
                <w:sz w:val="20"/>
                <w:szCs w:val="20"/>
              </w:rPr>
              <w:t xml:space="preserve">Uji Normalitas </w:t>
            </w:r>
            <w:r w:rsidRPr="00766AA3">
              <w:rPr>
                <w:rFonts w:eastAsia="Calibri"/>
                <w:b/>
                <w:i/>
                <w:iCs/>
                <w:sz w:val="20"/>
                <w:szCs w:val="20"/>
                <w:lang w:val="en-US" w:eastAsia="id-ID"/>
              </w:rPr>
              <w:t>Shapiro wilk</w:t>
            </w:r>
            <w:r w:rsidRPr="00766AA3">
              <w:rPr>
                <w:rFonts w:eastAsia="Calibri"/>
                <w:b/>
                <w:i/>
                <w:iCs/>
                <w:sz w:val="20"/>
                <w:szCs w:val="20"/>
              </w:rPr>
              <w:t xml:space="preserve"> </w:t>
            </w:r>
          </w:p>
          <w:p w:rsidR="001B086E" w:rsidRPr="00766AA3" w:rsidRDefault="001B086E" w:rsidP="00AC388C">
            <w:pPr>
              <w:jc w:val="center"/>
              <w:rPr>
                <w:rFonts w:eastAsia="Calibri"/>
                <w:b/>
                <w:sz w:val="20"/>
                <w:szCs w:val="20"/>
              </w:rPr>
            </w:pPr>
            <w:r w:rsidRPr="00766AA3">
              <w:rPr>
                <w:rFonts w:eastAsia="Calibri"/>
                <w:b/>
                <w:i/>
                <w:iCs/>
                <w:sz w:val="20"/>
                <w:szCs w:val="20"/>
              </w:rPr>
              <w:t>p-value</w:t>
            </w:r>
          </w:p>
        </w:tc>
      </w:tr>
      <w:tr w:rsidR="001B086E" w:rsidRPr="00766AA3" w:rsidTr="00AC388C">
        <w:trPr>
          <w:trHeight w:val="458"/>
          <w:jc w:val="center"/>
        </w:trPr>
        <w:tc>
          <w:tcPr>
            <w:tcW w:w="1701" w:type="dxa"/>
            <w:vMerge w:val="restart"/>
            <w:tcBorders>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Kadar Hemoglobin</w:t>
            </w:r>
          </w:p>
        </w:tc>
        <w:tc>
          <w:tcPr>
            <w:tcW w:w="2127"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Sebelum disimpan 7 hari</w:t>
            </w:r>
          </w:p>
        </w:tc>
        <w:tc>
          <w:tcPr>
            <w:tcW w:w="2971" w:type="dxa"/>
            <w:tcBorders>
              <w:lef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0,182</w:t>
            </w:r>
          </w:p>
        </w:tc>
      </w:tr>
      <w:tr w:rsidR="001B086E" w:rsidRPr="00766AA3" w:rsidTr="00AC388C">
        <w:trPr>
          <w:trHeight w:val="431"/>
          <w:jc w:val="center"/>
        </w:trPr>
        <w:tc>
          <w:tcPr>
            <w:tcW w:w="1701" w:type="dxa"/>
            <w:vMerge/>
            <w:tcBorders>
              <w:right w:val="nil"/>
            </w:tcBorders>
            <w:vAlign w:val="center"/>
          </w:tcPr>
          <w:p w:rsidR="001B086E" w:rsidRPr="00766AA3" w:rsidRDefault="001B086E" w:rsidP="00AC388C">
            <w:pPr>
              <w:jc w:val="center"/>
              <w:rPr>
                <w:rFonts w:eastAsia="Calibri"/>
                <w:bCs/>
                <w:sz w:val="20"/>
                <w:szCs w:val="20"/>
              </w:rPr>
            </w:pPr>
          </w:p>
        </w:tc>
        <w:tc>
          <w:tcPr>
            <w:tcW w:w="2127"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Sesudah disimpan 7 hari</w:t>
            </w:r>
          </w:p>
        </w:tc>
        <w:tc>
          <w:tcPr>
            <w:tcW w:w="2971" w:type="dxa"/>
            <w:tcBorders>
              <w:lef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0,001</w:t>
            </w:r>
          </w:p>
        </w:tc>
      </w:tr>
      <w:tr w:rsidR="001B086E" w:rsidRPr="00766AA3" w:rsidTr="00AC388C">
        <w:trPr>
          <w:trHeight w:val="413"/>
          <w:jc w:val="center"/>
        </w:trPr>
        <w:tc>
          <w:tcPr>
            <w:tcW w:w="1701" w:type="dxa"/>
            <w:vMerge w:val="restart"/>
            <w:tcBorders>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Kadar Hematokrit</w:t>
            </w:r>
          </w:p>
        </w:tc>
        <w:tc>
          <w:tcPr>
            <w:tcW w:w="2127"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Sebelum disimpan 7 hari</w:t>
            </w:r>
          </w:p>
        </w:tc>
        <w:tc>
          <w:tcPr>
            <w:tcW w:w="2971" w:type="dxa"/>
            <w:tcBorders>
              <w:lef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0,041</w:t>
            </w:r>
          </w:p>
        </w:tc>
      </w:tr>
      <w:tr w:rsidR="001B086E" w:rsidRPr="00766AA3" w:rsidTr="00AC388C">
        <w:trPr>
          <w:trHeight w:val="485"/>
          <w:jc w:val="center"/>
        </w:trPr>
        <w:tc>
          <w:tcPr>
            <w:tcW w:w="1701" w:type="dxa"/>
            <w:vMerge/>
            <w:tcBorders>
              <w:right w:val="nil"/>
            </w:tcBorders>
            <w:vAlign w:val="center"/>
          </w:tcPr>
          <w:p w:rsidR="001B086E" w:rsidRPr="00766AA3" w:rsidRDefault="001B086E" w:rsidP="00AC388C">
            <w:pPr>
              <w:jc w:val="center"/>
              <w:rPr>
                <w:rFonts w:eastAsia="Calibri"/>
                <w:bCs/>
                <w:sz w:val="20"/>
                <w:szCs w:val="20"/>
              </w:rPr>
            </w:pPr>
          </w:p>
        </w:tc>
        <w:tc>
          <w:tcPr>
            <w:tcW w:w="2127"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Sesudah disimpan 7 hari</w:t>
            </w:r>
          </w:p>
        </w:tc>
        <w:tc>
          <w:tcPr>
            <w:tcW w:w="2971" w:type="dxa"/>
            <w:tcBorders>
              <w:lef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&lt;0,001</w:t>
            </w:r>
          </w:p>
        </w:tc>
      </w:tr>
    </w:tbl>
    <w:p w:rsidR="001B086E" w:rsidRDefault="001B086E" w:rsidP="001B086E">
      <w:pPr>
        <w:ind w:firstLine="426"/>
        <w:jc w:val="both"/>
        <w:rPr>
          <w:rFonts w:eastAsia="Calibri"/>
          <w:bCs/>
          <w:color w:val="000000"/>
        </w:rPr>
      </w:pPr>
    </w:p>
    <w:p w:rsidR="001B086E" w:rsidRPr="00F20649" w:rsidRDefault="001B086E" w:rsidP="001B086E">
      <w:pPr>
        <w:spacing w:line="480" w:lineRule="auto"/>
        <w:ind w:firstLine="426"/>
        <w:jc w:val="both"/>
        <w:rPr>
          <w:rFonts w:eastAsia="Calibri"/>
          <w:bCs/>
          <w:color w:val="000000"/>
        </w:rPr>
      </w:pPr>
      <w:r>
        <w:rPr>
          <w:rFonts w:eastAsia="Calibri"/>
          <w:bCs/>
          <w:color w:val="000000"/>
        </w:rPr>
        <w:t>Dari Tabel 4</w:t>
      </w:r>
      <w:r w:rsidRPr="00F20649">
        <w:rPr>
          <w:rFonts w:eastAsia="Calibri"/>
          <w:bCs/>
          <w:color w:val="000000"/>
        </w:rPr>
        <w:t>.</w:t>
      </w:r>
      <w:r>
        <w:rPr>
          <w:rFonts w:eastAsia="Calibri"/>
          <w:bCs/>
          <w:color w:val="000000"/>
        </w:rPr>
        <w:t xml:space="preserve">3, hasil pengujian normalitas dengan metode Shapiro-Wilk memperlihatkan bahwasanya data kadar hemoglobin sebelum penyimpanan selama satu minggu menghasilkan nilai p-value sebesar 0,182 &gt; 0,05, yang berarti data </w:t>
      </w:r>
      <w:r>
        <w:rPr>
          <w:rFonts w:eastAsia="Calibri"/>
          <w:bCs/>
          <w:color w:val="000000"/>
        </w:rPr>
        <w:lastRenderedPageBreak/>
        <w:t>tersebut telah terdistribusi normal. Sebaliknya, kadar hemoglobin setelah penyimpanan selama satu minggu menghasilkan nilai p-value sebesae 0,001 &lt; 0,05 yang mengindikasikan bahwa data tidak terdistribusi normal. Pada kadar hematokrit sebelum penyimpanan, diperoleh nilai p-value sebesar 0,041 &lt; 0,05 yang berarti data tidak terdistribusi normal. Demikian pula, kadar hematokrit setelah penyimpanan memperlihatkan nilai p-value sebesar 0,001 &lt; 0,05 yang artinya data juga tidak terdistribusi normal. Dengan demikian, dapat diambil kesimpulan bahwasanya seluruh data penelitian ini tidak memenuhi asumsi normalitas sehingga analisis statistik selanjutnya dilaksanakan dengan pengujian non-parametrik.</w:t>
      </w:r>
    </w:p>
    <w:p w:rsidR="001B086E" w:rsidRPr="00B76B79" w:rsidRDefault="001B086E" w:rsidP="001B086E">
      <w:pPr>
        <w:numPr>
          <w:ilvl w:val="0"/>
          <w:numId w:val="9"/>
        </w:numPr>
        <w:spacing w:line="480" w:lineRule="auto"/>
        <w:ind w:left="426" w:hanging="426"/>
        <w:contextualSpacing/>
        <w:jc w:val="both"/>
        <w:rPr>
          <w:rFonts w:eastAsia="Calibri"/>
          <w:bCs/>
          <w:lang w:val="en-US" w:eastAsia="id-ID"/>
        </w:rPr>
      </w:pPr>
      <w:r w:rsidRPr="00B76B79">
        <w:rPr>
          <w:rFonts w:eastAsia="Calibri"/>
          <w:bCs/>
          <w:lang w:val="en-US"/>
        </w:rPr>
        <w:t>Analisis uji</w:t>
      </w:r>
      <w:r w:rsidRPr="00B76B79">
        <w:rPr>
          <w:rFonts w:eastAsia="Calibri"/>
          <w:bCs/>
          <w:i/>
          <w:iCs/>
          <w:lang w:val="en-US"/>
        </w:rPr>
        <w:t xml:space="preserve"> wilcoxon signed rank test</w:t>
      </w:r>
      <w:r w:rsidRPr="00B76B79">
        <w:rPr>
          <w:rFonts w:eastAsia="Calibri"/>
          <w:bCs/>
          <w:lang w:val="en-US"/>
        </w:rPr>
        <w:t xml:space="preserve"> </w:t>
      </w:r>
    </w:p>
    <w:p w:rsidR="001B086E" w:rsidRPr="00B76B79" w:rsidRDefault="001B086E" w:rsidP="001B086E">
      <w:pPr>
        <w:spacing w:line="480" w:lineRule="auto"/>
        <w:ind w:firstLine="426"/>
        <w:contextualSpacing/>
        <w:jc w:val="both"/>
        <w:rPr>
          <w:rFonts w:eastAsia="Calibri"/>
          <w:bCs/>
          <w:lang w:val="en-US" w:eastAsia="id-ID"/>
        </w:rPr>
      </w:pPr>
      <w:r w:rsidRPr="00603681">
        <w:rPr>
          <w:rFonts w:eastAsia="Calibri"/>
          <w:bCs/>
          <w:lang w:eastAsia="id-ID"/>
        </w:rPr>
        <w:t xml:space="preserve">Uji Wilcoxon </w:t>
      </w:r>
      <w:r>
        <w:rPr>
          <w:rFonts w:eastAsia="Calibri"/>
          <w:bCs/>
          <w:lang w:eastAsia="id-ID"/>
        </w:rPr>
        <w:t>dipergunakan dalam studi</w:t>
      </w:r>
      <w:r w:rsidRPr="00603681">
        <w:rPr>
          <w:rFonts w:eastAsia="Calibri"/>
          <w:bCs/>
          <w:lang w:eastAsia="id-ID"/>
        </w:rPr>
        <w:t xml:space="preserve"> ini karena data yang </w:t>
      </w:r>
      <w:r>
        <w:rPr>
          <w:rFonts w:eastAsia="Calibri"/>
          <w:bCs/>
          <w:lang w:eastAsia="id-ID"/>
        </w:rPr>
        <w:t>dianalisa adalah</w:t>
      </w:r>
      <w:r w:rsidRPr="00603681">
        <w:rPr>
          <w:rFonts w:eastAsia="Calibri"/>
          <w:bCs/>
          <w:lang w:eastAsia="id-ID"/>
        </w:rPr>
        <w:t xml:space="preserve"> data berpasangan (misalnya sebelum dan sesudah perlakuan) serta tidak memenuhi asumsi normalitas yang disyaratkan pada uji parametrik. </w:t>
      </w:r>
      <w:r>
        <w:rPr>
          <w:rFonts w:eastAsia="Calibri"/>
          <w:bCs/>
          <w:lang w:eastAsia="id-ID"/>
        </w:rPr>
        <w:t>Maka dari</w:t>
      </w:r>
      <w:r w:rsidRPr="00603681">
        <w:rPr>
          <w:rFonts w:eastAsia="Calibri"/>
          <w:bCs/>
          <w:lang w:eastAsia="id-ID"/>
        </w:rPr>
        <w:t xml:space="preserve"> itu, dipilih uji Wilcoxon sebagai metode nonparametrik yang lebih sesuai untuk menguji perbedaan median antara dua kondisi tersebut secara </w:t>
      </w:r>
      <w:r>
        <w:rPr>
          <w:rFonts w:eastAsia="Calibri"/>
          <w:bCs/>
          <w:lang w:eastAsia="id-ID"/>
        </w:rPr>
        <w:t xml:space="preserve">statistik. </w:t>
      </w:r>
      <w:r w:rsidRPr="00B76B79">
        <w:rPr>
          <w:rFonts w:eastAsia="Calibri"/>
          <w:bCs/>
          <w:lang w:val="en-US" w:eastAsia="id-ID"/>
        </w:rPr>
        <w:t xml:space="preserve">Berdasarkan uji analisis data kadar hemoglobin sebelum dan sesudah penyimpanan, diperoleh hasil yang disajikan </w:t>
      </w:r>
      <w:r>
        <w:rPr>
          <w:rFonts w:eastAsia="Calibri"/>
          <w:bCs/>
          <w:lang w:val="en-US" w:eastAsia="id-ID"/>
        </w:rPr>
        <w:t>melalui tabel dibawah ini</w:t>
      </w:r>
      <w:r w:rsidRPr="00B76B79">
        <w:rPr>
          <w:rFonts w:eastAsia="Calibri"/>
          <w:bCs/>
          <w:lang w:val="en-US" w:eastAsia="id-ID"/>
        </w:rPr>
        <w:t>:</w:t>
      </w:r>
    </w:p>
    <w:p w:rsidR="001B086E" w:rsidRPr="00423539" w:rsidRDefault="001B086E" w:rsidP="001B086E">
      <w:pPr>
        <w:pStyle w:val="Caption"/>
        <w:jc w:val="center"/>
        <w:rPr>
          <w:rFonts w:eastAsia="Calibri"/>
          <w:i/>
          <w:iCs/>
          <w:color w:val="000000" w:themeColor="text1"/>
          <w:sz w:val="24"/>
          <w:szCs w:val="24"/>
          <w:lang w:val="en-US" w:eastAsia="id-ID"/>
        </w:rPr>
      </w:pPr>
      <w:bookmarkStart w:id="14" w:name="_Toc225695874"/>
      <w:bookmarkStart w:id="15" w:name="_Toc212300928"/>
      <w:r w:rsidRPr="00423539">
        <w:rPr>
          <w:color w:val="000000" w:themeColor="text1"/>
          <w:sz w:val="24"/>
          <w:szCs w:val="24"/>
        </w:rPr>
        <w:t>Tabel 4.</w:t>
      </w:r>
      <w:r w:rsidRPr="00423539">
        <w:rPr>
          <w:i/>
          <w:iCs/>
          <w:color w:val="000000" w:themeColor="text1"/>
          <w:sz w:val="24"/>
          <w:szCs w:val="24"/>
        </w:rPr>
        <w:fldChar w:fldCharType="begin"/>
      </w:r>
      <w:r w:rsidRPr="00423539">
        <w:rPr>
          <w:color w:val="000000" w:themeColor="text1"/>
          <w:sz w:val="24"/>
          <w:szCs w:val="24"/>
        </w:rPr>
        <w:instrText xml:space="preserve"> SEQ Tabel_4. \* ARABIC </w:instrText>
      </w:r>
      <w:r w:rsidRPr="00423539">
        <w:rPr>
          <w:i/>
          <w:iCs/>
          <w:color w:val="000000" w:themeColor="text1"/>
          <w:sz w:val="24"/>
          <w:szCs w:val="24"/>
        </w:rPr>
        <w:fldChar w:fldCharType="separate"/>
      </w:r>
      <w:r>
        <w:rPr>
          <w:noProof/>
          <w:color w:val="000000" w:themeColor="text1"/>
          <w:sz w:val="24"/>
          <w:szCs w:val="24"/>
        </w:rPr>
        <w:t>4</w:t>
      </w:r>
      <w:bookmarkEnd w:id="14"/>
      <w:r w:rsidRPr="00423539">
        <w:rPr>
          <w:i/>
          <w:iCs/>
          <w:color w:val="000000" w:themeColor="text1"/>
          <w:sz w:val="24"/>
          <w:szCs w:val="24"/>
        </w:rPr>
        <w:fldChar w:fldCharType="end"/>
      </w:r>
      <w:bookmarkEnd w:id="15"/>
    </w:p>
    <w:p w:rsidR="001B086E" w:rsidRPr="00423539" w:rsidRDefault="001B086E" w:rsidP="001B086E">
      <w:pPr>
        <w:jc w:val="center"/>
        <w:rPr>
          <w:rFonts w:eastAsia="Calibri"/>
          <w:i/>
          <w:iCs/>
          <w:lang w:val="en-GB"/>
        </w:rPr>
      </w:pPr>
      <w:bookmarkStart w:id="16" w:name="_Hlk213457045"/>
      <w:r w:rsidRPr="00423539">
        <w:rPr>
          <w:rFonts w:eastAsia="Calibri"/>
          <w:lang w:val="en-US" w:eastAsia="id-ID"/>
        </w:rPr>
        <w:t>Uji</w:t>
      </w:r>
      <w:r w:rsidRPr="00423539">
        <w:rPr>
          <w:rFonts w:eastAsia="Calibri"/>
          <w:i/>
          <w:iCs/>
          <w:lang w:val="en-US" w:eastAsia="id-ID"/>
        </w:rPr>
        <w:t xml:space="preserve"> </w:t>
      </w:r>
      <w:r w:rsidRPr="00423539">
        <w:rPr>
          <w:rFonts w:eastAsia="Calibri"/>
          <w:i/>
          <w:iCs/>
          <w:lang w:val="en-GB"/>
        </w:rPr>
        <w:t>Wilcoxon Signed Rank Test</w:t>
      </w:r>
    </w:p>
    <w:bookmarkEnd w:id="16"/>
    <w:p w:rsidR="001B086E" w:rsidRPr="00B76B79" w:rsidRDefault="001B086E" w:rsidP="001B086E">
      <w:pPr>
        <w:jc w:val="center"/>
        <w:rPr>
          <w:rFonts w:eastAsia="Calibri"/>
          <w:b/>
          <w:i/>
          <w:iCs/>
          <w:lang w:val="en-US" w:eastAsia="id-ID"/>
        </w:rPr>
      </w:pPr>
    </w:p>
    <w:tbl>
      <w:tblPr>
        <w:tblStyle w:val="TableGrid5"/>
        <w:tblW w:w="7253" w:type="dxa"/>
        <w:jc w:val="center"/>
        <w:tblLook w:val="04A0" w:firstRow="1" w:lastRow="0" w:firstColumn="1" w:lastColumn="0" w:noHBand="0" w:noVBand="1"/>
      </w:tblPr>
      <w:tblGrid>
        <w:gridCol w:w="1701"/>
        <w:gridCol w:w="1985"/>
        <w:gridCol w:w="1701"/>
        <w:gridCol w:w="799"/>
        <w:gridCol w:w="1067"/>
      </w:tblGrid>
      <w:tr w:rsidR="001B086E" w:rsidRPr="00766AA3" w:rsidTr="00AC388C">
        <w:trPr>
          <w:jc w:val="center"/>
        </w:trPr>
        <w:tc>
          <w:tcPr>
            <w:tcW w:w="3686" w:type="dxa"/>
            <w:gridSpan w:val="2"/>
            <w:tcBorders>
              <w:left w:val="nil"/>
              <w:right w:val="nil"/>
            </w:tcBorders>
            <w:vAlign w:val="center"/>
          </w:tcPr>
          <w:p w:rsidR="001B086E" w:rsidRPr="00766AA3" w:rsidRDefault="001B086E" w:rsidP="00AC388C">
            <w:pPr>
              <w:jc w:val="center"/>
              <w:rPr>
                <w:rFonts w:eastAsia="Calibri"/>
                <w:b/>
                <w:sz w:val="20"/>
                <w:szCs w:val="20"/>
              </w:rPr>
            </w:pPr>
            <w:r w:rsidRPr="00766AA3">
              <w:rPr>
                <w:rFonts w:eastAsia="Calibri"/>
                <w:b/>
                <w:sz w:val="20"/>
                <w:szCs w:val="20"/>
              </w:rPr>
              <w:t>Variabel</w:t>
            </w:r>
          </w:p>
        </w:tc>
        <w:tc>
          <w:tcPr>
            <w:tcW w:w="1701" w:type="dxa"/>
            <w:tcBorders>
              <w:left w:val="nil"/>
              <w:bottom w:val="single" w:sz="4" w:space="0" w:color="auto"/>
              <w:right w:val="nil"/>
            </w:tcBorders>
            <w:vAlign w:val="center"/>
          </w:tcPr>
          <w:p w:rsidR="001B086E" w:rsidRPr="00766AA3" w:rsidRDefault="001B086E" w:rsidP="00AC388C">
            <w:pPr>
              <w:jc w:val="center"/>
              <w:rPr>
                <w:rFonts w:eastAsia="Calibri"/>
                <w:b/>
                <w:sz w:val="20"/>
                <w:szCs w:val="20"/>
              </w:rPr>
            </w:pPr>
            <w:r w:rsidRPr="00766AA3">
              <w:rPr>
                <w:rFonts w:eastAsia="Calibri"/>
                <w:b/>
                <w:i/>
                <w:iCs/>
                <w:sz w:val="20"/>
                <w:szCs w:val="20"/>
              </w:rPr>
              <w:t xml:space="preserve">Means ± </w:t>
            </w:r>
            <w:r w:rsidRPr="00766AA3">
              <w:rPr>
                <w:rFonts w:eastAsia="Calibri"/>
                <w:b/>
                <w:sz w:val="20"/>
                <w:szCs w:val="20"/>
              </w:rPr>
              <w:t>SD</w:t>
            </w:r>
          </w:p>
        </w:tc>
        <w:tc>
          <w:tcPr>
            <w:tcW w:w="799" w:type="dxa"/>
            <w:tcBorders>
              <w:left w:val="nil"/>
              <w:bottom w:val="single" w:sz="4" w:space="0" w:color="auto"/>
              <w:right w:val="nil"/>
            </w:tcBorders>
            <w:vAlign w:val="center"/>
          </w:tcPr>
          <w:p w:rsidR="001B086E" w:rsidRPr="00766AA3" w:rsidRDefault="001B086E" w:rsidP="00AC388C">
            <w:pPr>
              <w:ind w:left="-111" w:right="-107"/>
              <w:jc w:val="center"/>
              <w:rPr>
                <w:rFonts w:eastAsia="Calibri"/>
                <w:b/>
                <w:sz w:val="20"/>
                <w:szCs w:val="20"/>
              </w:rPr>
            </w:pPr>
            <w:r w:rsidRPr="00766AA3">
              <w:rPr>
                <w:rFonts w:eastAsia="Calibri"/>
                <w:b/>
                <w:sz w:val="20"/>
                <w:szCs w:val="20"/>
                <w:lang w:val="en-GB"/>
              </w:rPr>
              <w:t>Selisih (Δ)</w:t>
            </w:r>
          </w:p>
        </w:tc>
        <w:tc>
          <w:tcPr>
            <w:tcW w:w="1067" w:type="dxa"/>
            <w:tcBorders>
              <w:left w:val="nil"/>
              <w:bottom w:val="single" w:sz="4" w:space="0" w:color="auto"/>
              <w:right w:val="nil"/>
            </w:tcBorders>
            <w:vAlign w:val="center"/>
          </w:tcPr>
          <w:p w:rsidR="001B086E" w:rsidRPr="00766AA3" w:rsidRDefault="001B086E" w:rsidP="00AC388C">
            <w:pPr>
              <w:ind w:left="-111" w:right="-107"/>
              <w:jc w:val="center"/>
              <w:rPr>
                <w:rFonts w:eastAsia="Calibri"/>
                <w:b/>
                <w:i/>
                <w:iCs/>
                <w:sz w:val="20"/>
                <w:szCs w:val="20"/>
              </w:rPr>
            </w:pPr>
            <w:r w:rsidRPr="00766AA3">
              <w:rPr>
                <w:rFonts w:eastAsia="Calibri"/>
                <w:b/>
                <w:i/>
                <w:iCs/>
                <w:sz w:val="20"/>
                <w:szCs w:val="20"/>
              </w:rPr>
              <w:t>p-value</w:t>
            </w:r>
          </w:p>
        </w:tc>
      </w:tr>
      <w:tr w:rsidR="001B086E" w:rsidRPr="00766AA3" w:rsidTr="00AC388C">
        <w:trPr>
          <w:jc w:val="center"/>
        </w:trPr>
        <w:tc>
          <w:tcPr>
            <w:tcW w:w="1701" w:type="dxa"/>
            <w:vMerge w:val="restart"/>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Kadar Hemoglobin</w:t>
            </w:r>
          </w:p>
        </w:tc>
        <w:tc>
          <w:tcPr>
            <w:tcW w:w="1985"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Sebelum disimpan 7 hari</w:t>
            </w:r>
          </w:p>
        </w:tc>
        <w:tc>
          <w:tcPr>
            <w:tcW w:w="1701"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lang w:val="en-ID"/>
              </w:rPr>
              <w:t>15,17 ± 1,646</w:t>
            </w:r>
          </w:p>
        </w:tc>
        <w:tc>
          <w:tcPr>
            <w:tcW w:w="799" w:type="dxa"/>
            <w:vMerge w:val="restart"/>
            <w:tcBorders>
              <w:left w:val="nil"/>
              <w:right w:val="nil"/>
            </w:tcBorders>
            <w:vAlign w:val="center"/>
          </w:tcPr>
          <w:p w:rsidR="001B086E" w:rsidRPr="00766AA3" w:rsidRDefault="001B086E" w:rsidP="00AC388C">
            <w:pPr>
              <w:ind w:left="-89" w:right="-107"/>
              <w:jc w:val="center"/>
              <w:rPr>
                <w:rFonts w:eastAsia="Calibri"/>
                <w:bCs/>
                <w:sz w:val="20"/>
                <w:szCs w:val="20"/>
              </w:rPr>
            </w:pPr>
            <w:r w:rsidRPr="00766AA3">
              <w:rPr>
                <w:rFonts w:eastAsia="Calibri"/>
                <w:bCs/>
                <w:sz w:val="20"/>
                <w:szCs w:val="20"/>
              </w:rPr>
              <w:t>3,06</w:t>
            </w:r>
          </w:p>
        </w:tc>
        <w:tc>
          <w:tcPr>
            <w:tcW w:w="1067" w:type="dxa"/>
            <w:vMerge w:val="restart"/>
            <w:tcBorders>
              <w:left w:val="nil"/>
              <w:right w:val="nil"/>
            </w:tcBorders>
            <w:vAlign w:val="center"/>
          </w:tcPr>
          <w:p w:rsidR="001B086E" w:rsidRPr="00766AA3" w:rsidRDefault="001B086E" w:rsidP="00AC388C">
            <w:pPr>
              <w:ind w:left="-89" w:right="-107"/>
              <w:jc w:val="center"/>
              <w:rPr>
                <w:rFonts w:eastAsia="Calibri"/>
                <w:bCs/>
                <w:sz w:val="20"/>
                <w:szCs w:val="20"/>
              </w:rPr>
            </w:pPr>
            <w:r w:rsidRPr="00766AA3">
              <w:rPr>
                <w:rFonts w:eastAsia="Calibri"/>
                <w:bCs/>
                <w:sz w:val="20"/>
                <w:szCs w:val="20"/>
              </w:rPr>
              <w:t>&lt;0,001</w:t>
            </w:r>
          </w:p>
        </w:tc>
      </w:tr>
      <w:tr w:rsidR="001B086E" w:rsidRPr="00766AA3" w:rsidTr="00AC388C">
        <w:trPr>
          <w:jc w:val="center"/>
        </w:trPr>
        <w:tc>
          <w:tcPr>
            <w:tcW w:w="1701" w:type="dxa"/>
            <w:vMerge/>
            <w:tcBorders>
              <w:left w:val="nil"/>
              <w:bottom w:val="single" w:sz="4" w:space="0" w:color="auto"/>
              <w:right w:val="nil"/>
            </w:tcBorders>
            <w:vAlign w:val="center"/>
          </w:tcPr>
          <w:p w:rsidR="001B086E" w:rsidRPr="00766AA3" w:rsidRDefault="001B086E" w:rsidP="00AC388C">
            <w:pPr>
              <w:jc w:val="center"/>
              <w:rPr>
                <w:rFonts w:eastAsia="Calibri"/>
                <w:bCs/>
                <w:sz w:val="20"/>
                <w:szCs w:val="20"/>
              </w:rPr>
            </w:pPr>
          </w:p>
        </w:tc>
        <w:tc>
          <w:tcPr>
            <w:tcW w:w="1985"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Sesudah disimpan 7 hari</w:t>
            </w:r>
          </w:p>
        </w:tc>
        <w:tc>
          <w:tcPr>
            <w:tcW w:w="1701"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lang w:val="en-ID"/>
              </w:rPr>
              <w:t>12,10 ± 2,576</w:t>
            </w:r>
          </w:p>
        </w:tc>
        <w:tc>
          <w:tcPr>
            <w:tcW w:w="799" w:type="dxa"/>
            <w:vMerge/>
            <w:tcBorders>
              <w:left w:val="nil"/>
              <w:right w:val="nil"/>
            </w:tcBorders>
          </w:tcPr>
          <w:p w:rsidR="001B086E" w:rsidRPr="00766AA3" w:rsidRDefault="001B086E" w:rsidP="00AC388C">
            <w:pPr>
              <w:jc w:val="center"/>
              <w:rPr>
                <w:rFonts w:eastAsia="Calibri"/>
                <w:bCs/>
                <w:sz w:val="20"/>
                <w:szCs w:val="20"/>
              </w:rPr>
            </w:pPr>
          </w:p>
        </w:tc>
        <w:tc>
          <w:tcPr>
            <w:tcW w:w="1067" w:type="dxa"/>
            <w:vMerge/>
            <w:tcBorders>
              <w:left w:val="nil"/>
              <w:right w:val="nil"/>
            </w:tcBorders>
            <w:vAlign w:val="center"/>
          </w:tcPr>
          <w:p w:rsidR="001B086E" w:rsidRPr="00766AA3" w:rsidRDefault="001B086E" w:rsidP="00AC388C">
            <w:pPr>
              <w:jc w:val="center"/>
              <w:rPr>
                <w:rFonts w:eastAsia="Calibri"/>
                <w:bCs/>
                <w:sz w:val="20"/>
                <w:szCs w:val="20"/>
              </w:rPr>
            </w:pPr>
          </w:p>
        </w:tc>
      </w:tr>
      <w:tr w:rsidR="001B086E" w:rsidRPr="00766AA3" w:rsidTr="00AC388C">
        <w:trPr>
          <w:jc w:val="center"/>
        </w:trPr>
        <w:tc>
          <w:tcPr>
            <w:tcW w:w="1701" w:type="dxa"/>
            <w:vMerge w:val="restart"/>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Kadar Hematokrit</w:t>
            </w:r>
          </w:p>
        </w:tc>
        <w:tc>
          <w:tcPr>
            <w:tcW w:w="1985"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Sebelum disimpan 7 hari</w:t>
            </w:r>
          </w:p>
        </w:tc>
        <w:tc>
          <w:tcPr>
            <w:tcW w:w="1701"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lang w:val="en-ID"/>
              </w:rPr>
              <w:t>44,80 ± 5,695</w:t>
            </w:r>
          </w:p>
        </w:tc>
        <w:tc>
          <w:tcPr>
            <w:tcW w:w="799" w:type="dxa"/>
            <w:vMerge w:val="restart"/>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8,73</w:t>
            </w:r>
          </w:p>
        </w:tc>
        <w:tc>
          <w:tcPr>
            <w:tcW w:w="1067" w:type="dxa"/>
            <w:vMerge w:val="restart"/>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&lt;0,001</w:t>
            </w:r>
          </w:p>
        </w:tc>
      </w:tr>
      <w:tr w:rsidR="001B086E" w:rsidRPr="00766AA3" w:rsidTr="00AC388C">
        <w:trPr>
          <w:jc w:val="center"/>
        </w:trPr>
        <w:tc>
          <w:tcPr>
            <w:tcW w:w="1701" w:type="dxa"/>
            <w:vMerge/>
            <w:tcBorders>
              <w:left w:val="nil"/>
              <w:right w:val="nil"/>
            </w:tcBorders>
          </w:tcPr>
          <w:p w:rsidR="001B086E" w:rsidRPr="00766AA3" w:rsidRDefault="001B086E" w:rsidP="00AC388C">
            <w:pPr>
              <w:jc w:val="center"/>
              <w:rPr>
                <w:rFonts w:eastAsia="Calibri"/>
                <w:bCs/>
                <w:sz w:val="20"/>
                <w:szCs w:val="20"/>
              </w:rPr>
            </w:pPr>
          </w:p>
        </w:tc>
        <w:tc>
          <w:tcPr>
            <w:tcW w:w="1985"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Sesudah disimpan 7 hari</w:t>
            </w:r>
          </w:p>
        </w:tc>
        <w:tc>
          <w:tcPr>
            <w:tcW w:w="1701" w:type="dxa"/>
            <w:tcBorders>
              <w:left w:val="nil"/>
              <w:right w:val="nil"/>
            </w:tcBorders>
            <w:vAlign w:val="center"/>
          </w:tcPr>
          <w:p w:rsidR="001B086E" w:rsidRPr="00766AA3" w:rsidRDefault="001B086E" w:rsidP="00AC388C">
            <w:pPr>
              <w:jc w:val="center"/>
              <w:rPr>
                <w:rFonts w:eastAsia="Calibri"/>
                <w:bCs/>
                <w:sz w:val="20"/>
                <w:szCs w:val="20"/>
              </w:rPr>
            </w:pPr>
            <w:r w:rsidRPr="00766AA3">
              <w:rPr>
                <w:rFonts w:eastAsia="Calibri"/>
                <w:bCs/>
                <w:sz w:val="20"/>
                <w:szCs w:val="20"/>
              </w:rPr>
              <w:t>36,06 ± 7,408</w:t>
            </w:r>
          </w:p>
        </w:tc>
        <w:tc>
          <w:tcPr>
            <w:tcW w:w="799" w:type="dxa"/>
            <w:vMerge/>
            <w:tcBorders>
              <w:left w:val="nil"/>
              <w:right w:val="nil"/>
            </w:tcBorders>
          </w:tcPr>
          <w:p w:rsidR="001B086E" w:rsidRPr="00766AA3" w:rsidRDefault="001B086E" w:rsidP="00AC388C">
            <w:pPr>
              <w:jc w:val="center"/>
              <w:rPr>
                <w:rFonts w:eastAsia="Calibri"/>
                <w:bCs/>
                <w:sz w:val="20"/>
                <w:szCs w:val="20"/>
              </w:rPr>
            </w:pPr>
          </w:p>
        </w:tc>
        <w:tc>
          <w:tcPr>
            <w:tcW w:w="1067" w:type="dxa"/>
            <w:vMerge/>
            <w:tcBorders>
              <w:left w:val="nil"/>
              <w:right w:val="nil"/>
            </w:tcBorders>
            <w:vAlign w:val="center"/>
          </w:tcPr>
          <w:p w:rsidR="001B086E" w:rsidRPr="00766AA3" w:rsidRDefault="001B086E" w:rsidP="00AC388C">
            <w:pPr>
              <w:jc w:val="center"/>
              <w:rPr>
                <w:rFonts w:eastAsia="Calibri"/>
                <w:bCs/>
                <w:sz w:val="20"/>
                <w:szCs w:val="20"/>
              </w:rPr>
            </w:pPr>
          </w:p>
        </w:tc>
      </w:tr>
    </w:tbl>
    <w:p w:rsidR="001B086E" w:rsidRDefault="001B086E" w:rsidP="001B086E">
      <w:pPr>
        <w:spacing w:line="480" w:lineRule="auto"/>
        <w:ind w:firstLine="426"/>
        <w:jc w:val="both"/>
        <w:rPr>
          <w:rFonts w:eastAsia="Calibri"/>
          <w:bCs/>
          <w:sz w:val="20"/>
          <w:szCs w:val="18"/>
          <w:lang w:val="fi-FI" w:eastAsia="id-ID"/>
        </w:rPr>
      </w:pPr>
    </w:p>
    <w:p w:rsidR="001B086E" w:rsidRPr="000E0A21" w:rsidRDefault="001B086E" w:rsidP="001B086E">
      <w:pPr>
        <w:spacing w:line="480" w:lineRule="auto"/>
        <w:ind w:firstLine="426"/>
        <w:jc w:val="both"/>
        <w:rPr>
          <w:rFonts w:eastAsia="Calibri"/>
          <w:bCs/>
          <w:color w:val="000000"/>
        </w:rPr>
      </w:pPr>
      <w:r>
        <w:rPr>
          <w:rFonts w:eastAsia="Calibri"/>
          <w:bCs/>
          <w:color w:val="000000"/>
        </w:rPr>
        <w:t xml:space="preserve">Dari Tabel 4.4, terlihat bahwasanya nilai rerata kadar hemoglobin sebelum penyimpanan selama 7 hari adalah 15,17 </w:t>
      </w:r>
      <w:r w:rsidRPr="00B76B79">
        <w:rPr>
          <w:rFonts w:eastAsia="Calibri"/>
          <w:bCs/>
          <w:color w:val="000000"/>
          <w:lang w:val="id-ID"/>
        </w:rPr>
        <w:t>±</w:t>
      </w:r>
      <w:r>
        <w:rPr>
          <w:rFonts w:eastAsia="Calibri"/>
          <w:bCs/>
          <w:color w:val="000000"/>
        </w:rPr>
        <w:t xml:space="preserve"> 1,646 g/dL, sementara sesudah penyimpanan menurun menjadi 12,10 </w:t>
      </w:r>
      <w:r w:rsidRPr="00B76B79">
        <w:rPr>
          <w:rFonts w:eastAsia="Calibri"/>
          <w:bCs/>
          <w:color w:val="000000"/>
          <w:lang w:val="id-ID"/>
        </w:rPr>
        <w:t>±</w:t>
      </w:r>
      <w:r>
        <w:rPr>
          <w:rFonts w:eastAsia="Calibri"/>
          <w:bCs/>
          <w:color w:val="000000"/>
        </w:rPr>
        <w:t xml:space="preserve"> 2,576 g/dL dengan selisih </w:t>
      </w:r>
      <w:r w:rsidRPr="00B76B79">
        <w:rPr>
          <w:rFonts w:eastAsia="Calibri"/>
          <w:bCs/>
          <w:color w:val="000000"/>
          <w:lang w:val="id-ID"/>
        </w:rPr>
        <w:t>(</w:t>
      </w:r>
      <w:r w:rsidRPr="00D96928">
        <w:rPr>
          <w:rFonts w:eastAsia="Calibri"/>
          <w:bCs/>
          <w:color w:val="000000"/>
        </w:rPr>
        <w:t>Δ</w:t>
      </w:r>
      <w:r w:rsidRPr="00B76B79">
        <w:rPr>
          <w:rFonts w:eastAsia="Calibri"/>
          <w:bCs/>
          <w:color w:val="000000"/>
          <w:lang w:val="id-ID"/>
        </w:rPr>
        <w:t>)</w:t>
      </w:r>
      <w:r>
        <w:rPr>
          <w:rFonts w:eastAsia="Calibri"/>
          <w:bCs/>
          <w:color w:val="000000"/>
        </w:rPr>
        <w:t xml:space="preserve"> sebesar 3,06 g/dL. Hasil pengujian statistik memperlihatkan nilai p-value sebesar 0,002 yang artinya antara kadar hemoglobin sebelum dan sesudah penyimpanan memiliki perbedaan yang signifikan</w:t>
      </w:r>
      <w:r w:rsidRPr="00D96928">
        <w:rPr>
          <w:rFonts w:eastAsia="Calibri"/>
          <w:bCs/>
          <w:color w:val="000000"/>
          <w:lang w:val="id-ID"/>
        </w:rPr>
        <w:t>.</w:t>
      </w:r>
      <w:r>
        <w:rPr>
          <w:rFonts w:eastAsia="Calibri"/>
          <w:bCs/>
          <w:color w:val="000000"/>
          <w:lang w:val="id-ID"/>
        </w:rPr>
        <w:t xml:space="preserve"> </w:t>
      </w:r>
      <w:r w:rsidRPr="00B76B79">
        <w:rPr>
          <w:rFonts w:eastAsia="Calibri"/>
          <w:bCs/>
          <w:color w:val="000000"/>
          <w:lang w:val="id-ID"/>
        </w:rPr>
        <w:t xml:space="preserve">Selain itu, </w:t>
      </w:r>
      <w:r>
        <w:rPr>
          <w:rFonts w:eastAsia="Calibri"/>
          <w:bCs/>
          <w:color w:val="000000"/>
        </w:rPr>
        <w:t>rerata</w:t>
      </w:r>
      <w:r w:rsidRPr="00B76B79">
        <w:rPr>
          <w:rFonts w:eastAsia="Calibri"/>
          <w:bCs/>
          <w:color w:val="000000"/>
          <w:lang w:val="id-ID"/>
        </w:rPr>
        <w:t xml:space="preserve"> kadar hematokrit sebelum penyimpanan adalah 44,80 ± 5,695%, kemudian menurun menjadi 36,06 ± 7,408% setelah disimpan selama satu minggu, dengan selisih (</w:t>
      </w:r>
      <w:r w:rsidRPr="00D96928">
        <w:rPr>
          <w:rFonts w:eastAsia="Calibri"/>
          <w:bCs/>
          <w:color w:val="000000"/>
        </w:rPr>
        <w:t>Δ</w:t>
      </w:r>
      <w:r w:rsidRPr="00B76B79">
        <w:rPr>
          <w:rFonts w:eastAsia="Calibri"/>
          <w:bCs/>
          <w:color w:val="000000"/>
          <w:lang w:val="id-ID"/>
        </w:rPr>
        <w:t>) sebesar 8,73%. Nilai p-value yang diperoleh juga &lt;0,001, sehingga</w:t>
      </w:r>
      <w:r>
        <w:rPr>
          <w:rFonts w:eastAsia="Calibri"/>
          <w:bCs/>
          <w:color w:val="000000"/>
        </w:rPr>
        <w:t xml:space="preserve"> bisa diambil kesimpulan bahwasanya terdapat perbedaan yang signifikan antara kadar hematokrit sebelum dan sesudah penyimpanan</w:t>
      </w:r>
      <w:r w:rsidRPr="00B76B79">
        <w:rPr>
          <w:rFonts w:eastAsia="Calibri"/>
          <w:bCs/>
          <w:color w:val="000000"/>
          <w:lang w:val="id-ID"/>
        </w:rPr>
        <w:t>.</w:t>
      </w:r>
    </w:p>
    <w:p w:rsidR="001B086E" w:rsidRDefault="001B086E" w:rsidP="001B086E">
      <w:pPr>
        <w:ind w:firstLine="426"/>
        <w:jc w:val="both"/>
        <w:rPr>
          <w:rFonts w:eastAsia="Calibri"/>
          <w:bCs/>
          <w:color w:val="000000"/>
          <w:lang w:val="id-ID"/>
        </w:rPr>
      </w:pPr>
    </w:p>
    <w:p w:rsidR="001B086E" w:rsidRPr="00D128E2" w:rsidRDefault="001B086E" w:rsidP="001B086E">
      <w:pPr>
        <w:keepNext/>
        <w:keepLines/>
        <w:numPr>
          <w:ilvl w:val="0"/>
          <w:numId w:val="6"/>
        </w:numPr>
        <w:spacing w:line="480" w:lineRule="auto"/>
        <w:outlineLvl w:val="1"/>
        <w:rPr>
          <w:b/>
          <w:bCs/>
          <w:color w:val="2F5496"/>
          <w:kern w:val="2"/>
          <w:lang w:val="id-ID"/>
          <w14:ligatures w14:val="standardContextual"/>
        </w:rPr>
      </w:pPr>
      <w:bookmarkStart w:id="17" w:name="_Toc202996863"/>
      <w:bookmarkStart w:id="18" w:name="_Toc225698546"/>
      <w:r w:rsidRPr="00D128E2">
        <w:rPr>
          <w:b/>
          <w:bCs/>
          <w:kern w:val="2"/>
          <w:lang w:val="id-ID"/>
          <w14:ligatures w14:val="standardContextual"/>
        </w:rPr>
        <w:t>Pembahasan Hasil Penelitian</w:t>
      </w:r>
      <w:bookmarkEnd w:id="17"/>
      <w:bookmarkEnd w:id="18"/>
    </w:p>
    <w:p w:rsidR="001B086E" w:rsidRDefault="001B086E" w:rsidP="001B086E">
      <w:pPr>
        <w:numPr>
          <w:ilvl w:val="0"/>
          <w:numId w:val="7"/>
        </w:numPr>
        <w:spacing w:line="480" w:lineRule="auto"/>
        <w:contextualSpacing/>
        <w:rPr>
          <w:rFonts w:eastAsia="Calibri"/>
          <w:b/>
          <w:bCs/>
          <w:kern w:val="2"/>
          <w:lang w:val="id-ID"/>
          <w14:ligatures w14:val="standardContextual"/>
        </w:rPr>
      </w:pPr>
      <w:r>
        <w:rPr>
          <w:rFonts w:eastAsia="Calibri"/>
          <w:b/>
          <w:bCs/>
          <w:kern w:val="2"/>
          <w:lang w:val="id-ID"/>
          <w14:ligatures w14:val="standardContextual"/>
        </w:rPr>
        <w:t>Kadar Hemoglobin Sebelum Disimpan 7 hari</w:t>
      </w:r>
    </w:p>
    <w:p w:rsidR="001B086E" w:rsidRPr="003E7452" w:rsidRDefault="001B086E" w:rsidP="001B086E">
      <w:pPr>
        <w:spacing w:line="480" w:lineRule="auto"/>
        <w:ind w:firstLine="360"/>
        <w:contextualSpacing/>
        <w:jc w:val="both"/>
        <w:rPr>
          <w:rFonts w:eastAsia="Calibri"/>
          <w:kern w:val="2"/>
          <w:lang w:val="id-ID"/>
          <w14:ligatures w14:val="standardContextual"/>
        </w:rPr>
      </w:pPr>
      <w:r w:rsidRPr="0097436A">
        <w:rPr>
          <w:rFonts w:eastAsia="Calibri"/>
          <w:kern w:val="2"/>
          <w:lang w:val="id-ID"/>
          <w14:ligatures w14:val="standardContextual"/>
        </w:rPr>
        <w:t xml:space="preserve">Berdasarkan hasil penelitian, rerata kadar hemoglobin sebelum penyimpanan selama 7 hari adalah 15,17 ± 1,646 g/dL. Nilai tersebut </w:t>
      </w:r>
      <w:r>
        <w:rPr>
          <w:rFonts w:eastAsia="Calibri"/>
          <w:kern w:val="2"/>
          <w14:ligatures w14:val="standardContextual"/>
        </w:rPr>
        <w:t>memperlihatkan bahwasanya</w:t>
      </w:r>
      <w:r w:rsidRPr="0097436A">
        <w:rPr>
          <w:rFonts w:eastAsia="Calibri"/>
          <w:kern w:val="2"/>
          <w:lang w:val="id-ID"/>
          <w14:ligatures w14:val="standardContextual"/>
        </w:rPr>
        <w:t xml:space="preserve"> kadar hemoglobin pada PRC sebelum penyimpanan masih berada dalam kondisi baik dan stabil sehingga dapat dijadikan sebagai nilai dasar (baseline) untuk menilai perubahan kadar hemoglobin setelah penyimpanan.</w:t>
      </w:r>
      <w:r>
        <w:rPr>
          <w:rFonts w:eastAsia="Calibri"/>
          <w:kern w:val="2"/>
          <w:lang w:val="id-ID"/>
          <w14:ligatures w14:val="standardContextual"/>
        </w:rPr>
        <w:t xml:space="preserve"> </w:t>
      </w:r>
      <w:r>
        <w:rPr>
          <w:rFonts w:eastAsia="Calibri"/>
          <w:kern w:val="2"/>
          <w14:ligatures w14:val="standardContextual"/>
        </w:rPr>
        <w:t xml:space="preserve">Temuan studi ini relevan dengan studi sebelumnya yang dilaksanakan </w:t>
      </w:r>
      <w:r w:rsidRPr="003E7452">
        <w:rPr>
          <w:rFonts w:eastAsia="Calibri"/>
          <w:kern w:val="2"/>
          <w:lang w:val="id-ID"/>
          <w14:ligatures w14:val="standardContextual"/>
        </w:rPr>
        <w:t xml:space="preserve">oleh Mudayatiningsih dan Abiddin (2025), yang </w:t>
      </w:r>
      <w:r>
        <w:rPr>
          <w:rFonts w:eastAsia="Calibri"/>
          <w:kern w:val="2"/>
          <w14:ligatures w14:val="standardContextual"/>
        </w:rPr>
        <w:t>menyebutkan</w:t>
      </w:r>
      <w:r w:rsidRPr="003E7452">
        <w:rPr>
          <w:rFonts w:eastAsia="Calibri"/>
          <w:kern w:val="2"/>
          <w:lang w:val="id-ID"/>
          <w14:ligatures w14:val="standardContextual"/>
        </w:rPr>
        <w:t xml:space="preserve"> bahwa kadar hemoglobin pada darah segar cenderung stabil karena eritrosit belum mengalami proses </w:t>
      </w:r>
      <w:r w:rsidRPr="003E7452">
        <w:rPr>
          <w:rFonts w:eastAsia="Calibri"/>
          <w:kern w:val="2"/>
          <w:lang w:val="id-ID"/>
          <w14:ligatures w14:val="standardContextual"/>
        </w:rPr>
        <w:lastRenderedPageBreak/>
        <w:t xml:space="preserve">degradasi atau perubahan metabolik yang signifikan. Penelitian lain juga menunjukkan bahwa pada hari ke-0 penyimpanan, kualitas komponen darah masih dalam kondisi optimal karena belum terjadi proses </w:t>
      </w:r>
      <w:r w:rsidRPr="003E7452">
        <w:rPr>
          <w:rFonts w:eastAsia="Calibri"/>
          <w:i/>
          <w:iCs/>
          <w:kern w:val="2"/>
          <w:lang w:val="id-ID"/>
          <w14:ligatures w14:val="standardContextual"/>
        </w:rPr>
        <w:t>storage lesion</w:t>
      </w:r>
      <w:r w:rsidRPr="003E7452">
        <w:rPr>
          <w:rFonts w:eastAsia="Calibri"/>
          <w:kern w:val="2"/>
          <w:lang w:val="id-ID"/>
          <w14:ligatures w14:val="standardContextual"/>
        </w:rPr>
        <w:t>. Hal ini menegaskan bahwa darah yang baru diambil dan belum disimpan dalam jangka waktu tertentu umumnya masih memiliki kualitas yang baik dan stabil, baik dari segi kadar hemoglobin maupun fungsi eritrosit.</w:t>
      </w:r>
    </w:p>
    <w:p w:rsidR="001B086E" w:rsidRPr="0097436A" w:rsidRDefault="001B086E" w:rsidP="001B086E">
      <w:pPr>
        <w:spacing w:after="160" w:line="480" w:lineRule="auto"/>
        <w:ind w:firstLine="360"/>
        <w:contextualSpacing/>
        <w:jc w:val="both"/>
        <w:rPr>
          <w:rFonts w:eastAsia="Calibri"/>
          <w:kern w:val="2"/>
          <w:lang w:val="sv-SE"/>
          <w14:ligatures w14:val="standardContextual"/>
        </w:rPr>
      </w:pPr>
      <w:r w:rsidRPr="0097436A">
        <w:rPr>
          <w:rFonts w:eastAsia="Calibri"/>
          <w:kern w:val="2"/>
          <w:lang w:val="id-ID"/>
          <w14:ligatures w14:val="standardContextual"/>
        </w:rPr>
        <w:t xml:space="preserve">Secara teori, hemoglobin </w:t>
      </w:r>
      <w:r>
        <w:rPr>
          <w:rFonts w:eastAsia="Calibri"/>
          <w:kern w:val="2"/>
          <w14:ligatures w14:val="standardContextual"/>
        </w:rPr>
        <w:t xml:space="preserve">ialah </w:t>
      </w:r>
      <w:r>
        <w:t>protein utama dalam eritrosit yang berfungsi mengikat dan mengangkut oksigen dari paru-paru ke jaringan serta membawa karbon dioksida kembali ke paru-paru</w:t>
      </w:r>
      <w:r w:rsidRPr="0097436A">
        <w:rPr>
          <w:rFonts w:eastAsia="Calibri"/>
          <w:kern w:val="2"/>
          <w:lang w:val="id-ID"/>
          <w14:ligatures w14:val="standardContextual"/>
        </w:rPr>
        <w:t xml:space="preserve">. </w:t>
      </w:r>
      <w:r w:rsidRPr="0097436A">
        <w:rPr>
          <w:rFonts w:eastAsia="Calibri"/>
          <w:kern w:val="2"/>
          <w:lang w:val="sv-SE"/>
          <w14:ligatures w14:val="standardContextual"/>
        </w:rPr>
        <w:t>Menurut Hoffbrand dan Moss (2016), stabilitas kadar hemoglobin sangat dipengaruhi oleh integritas membran eritrosit dan metabolisme sel darah merah yang masih berjalan dengan baik. Eritrosit memerlukan energi dalam bentuk adenosin trifosfat (ATP) untuk mempertahankan bentuk bikonkaf, fleksibilitas membran, serta keseimbangan ion di dalam sel. Selama ATP masih tersedia dalam jumlah cukup, eritrosit mampu mempertahankan strukturnya sehingga tidak mudah mengalami hemolisis.</w:t>
      </w:r>
    </w:p>
    <w:p w:rsidR="001B086E" w:rsidRPr="0097436A" w:rsidRDefault="001B086E" w:rsidP="001B086E">
      <w:pPr>
        <w:spacing w:after="160" w:line="480" w:lineRule="auto"/>
        <w:ind w:firstLine="360"/>
        <w:contextualSpacing/>
        <w:jc w:val="both"/>
        <w:rPr>
          <w:rFonts w:eastAsia="Calibri"/>
          <w:kern w:val="2"/>
          <w:lang w:val="sv-SE"/>
          <w14:ligatures w14:val="standardContextual"/>
        </w:rPr>
      </w:pPr>
      <w:r w:rsidRPr="0097436A">
        <w:rPr>
          <w:rFonts w:eastAsia="Calibri"/>
          <w:kern w:val="2"/>
          <w:lang w:val="sv-SE"/>
          <w14:ligatures w14:val="standardContextual"/>
        </w:rPr>
        <w:t>Selain itu, menurut Harmening (2019), pada fase awal penyimpanan darah belum terjadi storage lesion secara signifikan. Storage lesion merupakan perubahan biokimia, metabolik, dan morfologi eritrosit selama penyimpanan, seperti penurunan pH, penurunan kadar ATP, peningkatan stres oksidatif, serta kerusakan membran eritrosit yang dapat memengaruhi kualitas darah. Oleh karena itu, darah yang belum mengalami penyimpanan lama cenderung memiliki kadar hemoglobin yang masih stabil dan kualitas eritrosit yang baik.</w:t>
      </w:r>
    </w:p>
    <w:p w:rsidR="001B086E" w:rsidRPr="003E7452" w:rsidRDefault="001B086E" w:rsidP="001B086E">
      <w:pPr>
        <w:spacing w:after="160" w:line="480" w:lineRule="auto"/>
        <w:ind w:firstLine="360"/>
        <w:contextualSpacing/>
        <w:jc w:val="both"/>
        <w:rPr>
          <w:rFonts w:eastAsia="Calibri"/>
          <w:kern w:val="2"/>
          <w:lang w:val="sv-SE"/>
          <w14:ligatures w14:val="standardContextual"/>
        </w:rPr>
      </w:pPr>
      <w:r w:rsidRPr="003E7452">
        <w:rPr>
          <w:rFonts w:eastAsia="Calibri"/>
          <w:kern w:val="2"/>
          <w:lang w:val="sv-SE"/>
          <w14:ligatures w14:val="standardContextual"/>
        </w:rPr>
        <w:lastRenderedPageBreak/>
        <w:t>Menurut peneliti, kadar hemoglobin yang masih berada dalam rentang normal sebelum penyimpanan menunjukkan bahwa seluruh tahapan awal, mulai dari proses donor, pengambilan darah, hingga pengolahan menjadi PRC, telah dilakukan dengan baik sesuai standar operasional prosedur. Kondisi ini sangat penting karena kualitas awal darah akan sangat memengaruhi perubahan yang terjadi selama masa penyimpanan. Dengan demikian, dapat disimpulkan bahwa kadar hemoglobin sebelum penyimpanan mencerminkan kualitas PRC yang masih segar, stabil, dan layak digunakan sebagai bahan transfusi, serta dapat dijadikan sebagai nilai dasar (baseline) dalam menilai perubahan kadar hemoglobin selama masa simpan.</w:t>
      </w:r>
    </w:p>
    <w:p w:rsidR="001B086E" w:rsidRDefault="001B086E" w:rsidP="001B086E">
      <w:pPr>
        <w:numPr>
          <w:ilvl w:val="0"/>
          <w:numId w:val="7"/>
        </w:numPr>
        <w:spacing w:after="160" w:line="480" w:lineRule="auto"/>
        <w:contextualSpacing/>
        <w:rPr>
          <w:rFonts w:eastAsia="Calibri"/>
          <w:b/>
          <w:bCs/>
          <w:kern w:val="2"/>
          <w:lang w:val="id-ID"/>
          <w14:ligatures w14:val="standardContextual"/>
        </w:rPr>
      </w:pPr>
      <w:r>
        <w:rPr>
          <w:rFonts w:eastAsia="Calibri"/>
          <w:b/>
          <w:bCs/>
          <w:kern w:val="2"/>
          <w:lang w:val="id-ID"/>
          <w14:ligatures w14:val="standardContextual"/>
        </w:rPr>
        <w:t>Kadar Hemoglobin Setelah Disimpan 7 hari</w:t>
      </w:r>
    </w:p>
    <w:p w:rsidR="001B086E" w:rsidRPr="003E7452" w:rsidRDefault="001B086E" w:rsidP="001B086E">
      <w:pPr>
        <w:spacing w:after="160" w:line="480" w:lineRule="auto"/>
        <w:ind w:firstLine="360"/>
        <w:contextualSpacing/>
        <w:jc w:val="both"/>
        <w:rPr>
          <w:rFonts w:eastAsia="Calibri"/>
          <w:kern w:val="2"/>
          <w:lang w:val="id-ID"/>
          <w14:ligatures w14:val="standardContextual"/>
        </w:rPr>
      </w:pPr>
      <w:r w:rsidRPr="003E7452">
        <w:rPr>
          <w:rFonts w:eastAsia="Calibri"/>
          <w:kern w:val="2"/>
          <w:lang w:val="id-ID"/>
          <w14:ligatures w14:val="standardContextual"/>
        </w:rPr>
        <w:t xml:space="preserve">Hasil penelitian menunjukkan bahwa kadar hemoglobin (Hb) pada kantong darah PRC </w:t>
      </w:r>
      <w:r>
        <w:rPr>
          <w:rFonts w:eastAsia="Calibri"/>
          <w:kern w:val="2"/>
          <w14:ligatures w14:val="standardContextual"/>
        </w:rPr>
        <w:t>sesudah</w:t>
      </w:r>
      <w:r w:rsidRPr="003E7452">
        <w:rPr>
          <w:rFonts w:eastAsia="Calibri"/>
          <w:kern w:val="2"/>
          <w:lang w:val="id-ID"/>
          <w14:ligatures w14:val="standardContextual"/>
        </w:rPr>
        <w:t xml:space="preserve"> penyimpanan selama 7 hari mengalami penurunan menjadi rata-rata 12,10 ± 2,576 g/dL dibandingkan sebelum penyimpanan. Penurunan ini mengindikasikan adanya perubahan kualitas darah selama masa simpan, meskipun nilai tersebut masih berada dalam batas yang </w:t>
      </w:r>
      <w:r>
        <w:rPr>
          <w:rFonts w:eastAsia="Calibri"/>
          <w:kern w:val="2"/>
          <w14:ligatures w14:val="standardContextual"/>
        </w:rPr>
        <w:t>bisa diterima</w:t>
      </w:r>
      <w:r w:rsidRPr="003E7452">
        <w:rPr>
          <w:rFonts w:eastAsia="Calibri"/>
          <w:kern w:val="2"/>
          <w:lang w:val="id-ID"/>
          <w14:ligatures w14:val="standardContextual"/>
        </w:rPr>
        <w:t xml:space="preserve"> untuk keperluan transfusi. Penurunan kadar hemoglobin ini mencerminkan bahwa eritrosit mulai mengalami gangguan stabilitas, meskipun belum mencapai tingkat kerusakan yang berat.</w:t>
      </w:r>
    </w:p>
    <w:p w:rsidR="001B086E" w:rsidRPr="003E7452" w:rsidRDefault="001B086E" w:rsidP="001B086E">
      <w:pPr>
        <w:spacing w:after="160" w:line="480" w:lineRule="auto"/>
        <w:ind w:firstLine="360"/>
        <w:contextualSpacing/>
        <w:jc w:val="both"/>
        <w:rPr>
          <w:rFonts w:eastAsia="Calibri"/>
          <w:kern w:val="2"/>
          <w:lang w:val="sv-SE"/>
          <w14:ligatures w14:val="standardContextual"/>
        </w:rPr>
      </w:pPr>
      <w:r>
        <w:rPr>
          <w:rFonts w:eastAsia="Calibri"/>
          <w:kern w:val="2"/>
          <w14:ligatures w14:val="standardContextual"/>
        </w:rPr>
        <w:t>Temuan studi ini relevan dengan studi sebelumnya</w:t>
      </w:r>
      <w:r w:rsidRPr="003E7452">
        <w:rPr>
          <w:rFonts w:eastAsia="Calibri"/>
          <w:kern w:val="2"/>
          <w:lang w:val="id-ID"/>
          <w14:ligatures w14:val="standardContextual"/>
        </w:rPr>
        <w:t xml:space="preserve"> oleh Mudayatiningsih dan Abiddin (2025) yang </w:t>
      </w:r>
      <w:r>
        <w:rPr>
          <w:rFonts w:eastAsia="Calibri"/>
          <w:kern w:val="2"/>
          <w14:ligatures w14:val="standardContextual"/>
        </w:rPr>
        <w:t>menjelaskan bahwasanya</w:t>
      </w:r>
      <w:r w:rsidRPr="003E7452">
        <w:rPr>
          <w:rFonts w:eastAsia="Calibri"/>
          <w:kern w:val="2"/>
          <w:lang w:val="id-ID"/>
          <w14:ligatures w14:val="standardContextual"/>
        </w:rPr>
        <w:t xml:space="preserve"> kadar hemoglobin cenderung menurun selama penyimpanan akibat kerusakan eritrosit. </w:t>
      </w:r>
      <w:r>
        <w:rPr>
          <w:rFonts w:eastAsia="Calibri"/>
          <w:kern w:val="2"/>
          <w:lang w:val="sv-SE"/>
          <w14:ligatures w14:val="standardContextual"/>
        </w:rPr>
        <w:t>Akan tetapi</w:t>
      </w:r>
      <w:r w:rsidRPr="003E7452">
        <w:rPr>
          <w:rFonts w:eastAsia="Calibri"/>
          <w:kern w:val="2"/>
          <w:lang w:val="sv-SE"/>
          <w14:ligatures w14:val="standardContextual"/>
        </w:rPr>
        <w:t xml:space="preserve">, hasil ini sedikit berbeda dengan </w:t>
      </w:r>
      <w:r>
        <w:rPr>
          <w:rFonts w:eastAsia="Calibri"/>
          <w:kern w:val="2"/>
          <w:lang w:val="sv-SE"/>
          <w14:ligatures w14:val="standardContextual"/>
        </w:rPr>
        <w:t>studi</w:t>
      </w:r>
      <w:r w:rsidRPr="003E7452">
        <w:rPr>
          <w:rFonts w:eastAsia="Calibri"/>
          <w:kern w:val="2"/>
          <w:lang w:val="sv-SE"/>
          <w14:ligatures w14:val="standardContextual"/>
        </w:rPr>
        <w:t xml:space="preserve"> Saragih et al. (2019) yang melaporkan </w:t>
      </w:r>
      <w:r>
        <w:rPr>
          <w:rFonts w:eastAsia="Calibri"/>
          <w:kern w:val="2"/>
          <w:lang w:val="sv-SE"/>
          <w14:ligatures w14:val="standardContextual"/>
        </w:rPr>
        <w:t>bahwasanya</w:t>
      </w:r>
      <w:r w:rsidRPr="003E7452">
        <w:rPr>
          <w:rFonts w:eastAsia="Calibri"/>
          <w:kern w:val="2"/>
          <w:lang w:val="sv-SE"/>
          <w14:ligatures w14:val="standardContextual"/>
        </w:rPr>
        <w:t xml:space="preserve"> penurunan kadar hemoglobin selama 7 hari penyimpanan tidak signifikan secara </w:t>
      </w:r>
      <w:r w:rsidRPr="003E7452">
        <w:rPr>
          <w:rFonts w:eastAsia="Calibri"/>
          <w:kern w:val="2"/>
          <w:lang w:val="sv-SE"/>
          <w14:ligatures w14:val="standardContextual"/>
        </w:rPr>
        <w:lastRenderedPageBreak/>
        <w:t xml:space="preserve">statistik. Perbedaan ini </w:t>
      </w:r>
      <w:r>
        <w:rPr>
          <w:rFonts w:eastAsia="Calibri"/>
          <w:kern w:val="2"/>
          <w:lang w:val="sv-SE"/>
          <w14:ligatures w14:val="standardContextual"/>
        </w:rPr>
        <w:t>bisa ditentukan</w:t>
      </w:r>
      <w:r w:rsidRPr="003E7452">
        <w:rPr>
          <w:rFonts w:eastAsia="Calibri"/>
          <w:kern w:val="2"/>
          <w:lang w:val="sv-SE"/>
          <w14:ligatures w14:val="standardContextual"/>
        </w:rPr>
        <w:t xml:space="preserve"> oleh variasi metode pemeriksaan, kondisi penyimpanan, serta karakteristik sampel yang </w:t>
      </w:r>
      <w:r>
        <w:rPr>
          <w:rFonts w:eastAsia="Calibri"/>
          <w:kern w:val="2"/>
          <w:lang w:val="sv-SE"/>
          <w14:ligatures w14:val="standardContextual"/>
        </w:rPr>
        <w:t>dipergunakan didalam masing-masing studi</w:t>
      </w:r>
      <w:r w:rsidRPr="003E7452">
        <w:rPr>
          <w:rFonts w:eastAsia="Calibri"/>
          <w:kern w:val="2"/>
          <w:lang w:val="sv-SE"/>
          <w14:ligatures w14:val="standardContextual"/>
        </w:rPr>
        <w:t>.</w:t>
      </w:r>
    </w:p>
    <w:p w:rsidR="001B086E" w:rsidRPr="0097436A" w:rsidRDefault="001B086E" w:rsidP="001B086E">
      <w:pPr>
        <w:spacing w:after="160" w:line="480" w:lineRule="auto"/>
        <w:ind w:firstLine="360"/>
        <w:contextualSpacing/>
        <w:jc w:val="both"/>
        <w:rPr>
          <w:rFonts w:eastAsia="Calibri"/>
          <w:kern w:val="2"/>
          <w:lang w:val="sv-SE"/>
          <w14:ligatures w14:val="standardContextual"/>
        </w:rPr>
      </w:pPr>
      <w:r w:rsidRPr="0097436A">
        <w:rPr>
          <w:rFonts w:eastAsia="Calibri"/>
          <w:kern w:val="2"/>
          <w:lang w:val="sv-SE"/>
          <w14:ligatures w14:val="standardContextual"/>
        </w:rPr>
        <w:t xml:space="preserve">Secara teori, penurunan kadar hemoglobin selama penyimpanan berkaitan dengan proses </w:t>
      </w:r>
      <w:r w:rsidRPr="0097436A">
        <w:rPr>
          <w:rFonts w:eastAsia="Calibri"/>
          <w:i/>
          <w:iCs/>
          <w:kern w:val="2"/>
          <w:lang w:val="sv-SE"/>
          <w14:ligatures w14:val="standardContextual"/>
        </w:rPr>
        <w:t>storage lesion</w:t>
      </w:r>
      <w:r w:rsidRPr="0097436A">
        <w:rPr>
          <w:rFonts w:eastAsia="Calibri"/>
          <w:kern w:val="2"/>
          <w:lang w:val="sv-SE"/>
          <w14:ligatures w14:val="standardContextual"/>
        </w:rPr>
        <w:t xml:space="preserve">, yaitu perubahan biokimia, metabolik, dan morfologi eritrosit selama masa penyimpanan darah. Eritrosit yang disimpan pada suhu rendah tetap </w:t>
      </w:r>
      <w:r>
        <w:rPr>
          <w:rFonts w:eastAsia="Calibri"/>
          <w:kern w:val="2"/>
          <w:lang w:val="sv-SE"/>
          <w14:ligatures w14:val="standardContextual"/>
        </w:rPr>
        <w:t>melaksanakan</w:t>
      </w:r>
      <w:r w:rsidRPr="0097436A">
        <w:rPr>
          <w:rFonts w:eastAsia="Calibri"/>
          <w:kern w:val="2"/>
          <w:lang w:val="sv-SE"/>
          <w14:ligatures w14:val="standardContextual"/>
        </w:rPr>
        <w:t xml:space="preserve"> metabolisme anaerob sehingga menghasilkan asam laktat yang menyebabkan penurunan pH. Kondisi tersebut mengakibatkan penurunan kadar adenosin trifosfat (ATP) yang berfungsi mempertahankan integritas membran eritrosit. Penurunan ATP menyebabkan membran eritrosit menjadi lebih rapuh dan rentan mengalami hemolisis, sehingga hemoglobin keluar dari dalam sel ke plasma dan menyebabkan kadar hemoglobin menurun (Harmening, 2019).</w:t>
      </w:r>
    </w:p>
    <w:p w:rsidR="001B086E" w:rsidRPr="0097436A" w:rsidRDefault="001B086E" w:rsidP="001B086E">
      <w:pPr>
        <w:spacing w:after="160" w:line="480" w:lineRule="auto"/>
        <w:ind w:firstLine="360"/>
        <w:contextualSpacing/>
        <w:jc w:val="both"/>
        <w:rPr>
          <w:rFonts w:eastAsia="Calibri"/>
          <w:kern w:val="2"/>
          <w:lang w:val="fi-FI"/>
          <w14:ligatures w14:val="standardContextual"/>
        </w:rPr>
      </w:pPr>
      <w:r w:rsidRPr="0097436A">
        <w:rPr>
          <w:rFonts w:eastAsia="Calibri"/>
          <w:kern w:val="2"/>
          <w:lang w:val="fi-FI"/>
          <w14:ligatures w14:val="standardContextual"/>
        </w:rPr>
        <w:t>Selain itu, peningkatan stres oksidatif selama penyimpanan juga dapat mempercepat kerusakan membran eritrosit. Radikal bebas yang terbentuk selama proses penyimpanan dapat merusak lipid membran sel dan protein eritrosit sehingga mempercepat terjadinya hemolisis. Menurut Hoffbrand dan Moss (2016), eritrosit yang mengalami kerusakan membran akan kehilangan kemampuan mempertahankan bentuk dan fungsinya, sehingga kualitas darah menurun selama masa penyimpanan.</w:t>
      </w:r>
    </w:p>
    <w:p w:rsidR="001B086E" w:rsidRPr="003E7452" w:rsidRDefault="001B086E" w:rsidP="001B086E">
      <w:pPr>
        <w:spacing w:after="160" w:line="480" w:lineRule="auto"/>
        <w:ind w:firstLine="360"/>
        <w:contextualSpacing/>
        <w:jc w:val="both"/>
        <w:rPr>
          <w:rFonts w:eastAsia="Calibri"/>
          <w:kern w:val="2"/>
          <w:lang w:val="fi-FI"/>
          <w14:ligatures w14:val="standardContextual"/>
        </w:rPr>
      </w:pPr>
      <w:r w:rsidRPr="0097436A">
        <w:rPr>
          <w:rFonts w:eastAsia="Calibri"/>
          <w:kern w:val="2"/>
          <w:lang w:val="fi-FI"/>
          <w14:ligatures w14:val="standardContextual"/>
        </w:rPr>
        <w:t xml:space="preserve">Menurut peneliti, penurunan kadar hemoglobin setelah penyimpanan 7 hari merupakan fenomena yang wajar sebagai akibat dari proses penyimpanan darah. </w:t>
      </w:r>
      <w:r w:rsidRPr="00F35BF5">
        <w:rPr>
          <w:rFonts w:eastAsia="Calibri"/>
          <w:kern w:val="2"/>
          <w:lang w:val="fi-FI"/>
          <w14:ligatures w14:val="standardContextual"/>
        </w:rPr>
        <w:t xml:space="preserve">Meskipun demikian, nilai hemoglobin yang masih berada dalam batas yang dapat </w:t>
      </w:r>
      <w:r w:rsidRPr="00F35BF5">
        <w:rPr>
          <w:rFonts w:eastAsia="Calibri"/>
          <w:kern w:val="2"/>
          <w:lang w:val="fi-FI"/>
          <w14:ligatures w14:val="standardContextual"/>
        </w:rPr>
        <w:lastRenderedPageBreak/>
        <w:t xml:space="preserve">diterima menunjukkan bahwa kualitas PRC masih cukup baik untuk digunakan dalam transfusi. </w:t>
      </w:r>
      <w:r w:rsidRPr="003E7452">
        <w:rPr>
          <w:rFonts w:eastAsia="Calibri"/>
          <w:kern w:val="2"/>
          <w:lang w:val="fi-FI"/>
          <w14:ligatures w14:val="standardContextual"/>
        </w:rPr>
        <w:t>Hal ini menegaskan bahwa masa simpan 7 hari masih relatif aman, namun tetap perlu diperhatikan karena semakin lama penyimpanan, potensi penurunan kualitas darah akan semakin besar.</w:t>
      </w:r>
    </w:p>
    <w:p w:rsidR="001B086E" w:rsidRDefault="001B086E" w:rsidP="001B086E">
      <w:pPr>
        <w:numPr>
          <w:ilvl w:val="0"/>
          <w:numId w:val="7"/>
        </w:numPr>
        <w:spacing w:after="160" w:line="480" w:lineRule="auto"/>
        <w:contextualSpacing/>
        <w:rPr>
          <w:rFonts w:eastAsia="Calibri"/>
          <w:b/>
          <w:bCs/>
          <w:kern w:val="2"/>
          <w:lang w:val="id-ID"/>
          <w14:ligatures w14:val="standardContextual"/>
        </w:rPr>
      </w:pPr>
      <w:r>
        <w:rPr>
          <w:rFonts w:eastAsia="Calibri"/>
          <w:b/>
          <w:bCs/>
          <w:kern w:val="2"/>
          <w:lang w:val="id-ID"/>
          <w14:ligatures w14:val="standardContextual"/>
        </w:rPr>
        <w:t>Kadar Hematokrit Sebelum Disimpan 7 hari</w:t>
      </w:r>
    </w:p>
    <w:p w:rsidR="001B086E" w:rsidRPr="003E7452" w:rsidRDefault="001B086E" w:rsidP="001B086E">
      <w:pPr>
        <w:spacing w:after="160" w:line="480" w:lineRule="auto"/>
        <w:ind w:firstLine="426"/>
        <w:contextualSpacing/>
        <w:jc w:val="both"/>
        <w:rPr>
          <w:rFonts w:eastAsia="Calibri"/>
          <w:kern w:val="2"/>
          <w:lang w:val="id-ID"/>
          <w14:ligatures w14:val="standardContextual"/>
        </w:rPr>
      </w:pPr>
      <w:r w:rsidRPr="003E7452">
        <w:rPr>
          <w:rFonts w:eastAsia="Calibri"/>
          <w:kern w:val="2"/>
          <w:lang w:val="id-ID"/>
          <w14:ligatures w14:val="standardContextual"/>
        </w:rPr>
        <w:t>Hasil penelitian menunjukkan bahwa kadar hematokrit (Hct) pada kantong darah PRC sebelum penyimpanan (hari ke-0) memiliki nilai rata-rata sebesar 44,80 ± 5,695% yang masih berada dalam batas normal. Nilai ini menggambarkan bahwa proporsi volume eritrosit terhadap total volume darah masih optimal, sehingga mencerminkan kondisi sel darah merah yang masih baik dan belum mengalami kerusakan. Selain itu, nilai hematokrit yang stabil menunjukkan bahwa jumlah dan volume eritrosit masih terjaga dengan baik, serta belum terjadi perubahan signifikan pada komponen darah sebelum penyimpanan. Eritrosit pada kondisi ini masih memiliki bentuk bikonkaf yang normal, sehingga mampu mempertahankan fleksibilitas dan volumenya dalam sirkulasi.</w:t>
      </w:r>
    </w:p>
    <w:p w:rsidR="001B086E" w:rsidRPr="003E7452" w:rsidRDefault="001B086E" w:rsidP="001B086E">
      <w:pPr>
        <w:spacing w:after="160" w:line="480" w:lineRule="auto"/>
        <w:ind w:firstLine="426"/>
        <w:contextualSpacing/>
        <w:jc w:val="both"/>
        <w:rPr>
          <w:rFonts w:eastAsia="Calibri"/>
          <w:kern w:val="2"/>
          <w:lang w:val="id-ID"/>
          <w14:ligatures w14:val="standardContextual"/>
        </w:rPr>
      </w:pPr>
      <w:r w:rsidRPr="003E7452">
        <w:rPr>
          <w:rFonts w:eastAsia="Calibri"/>
          <w:kern w:val="2"/>
          <w:lang w:val="id-ID"/>
          <w14:ligatures w14:val="standardContextual"/>
        </w:rPr>
        <w:t xml:space="preserve">Hasil </w:t>
      </w:r>
      <w:r>
        <w:rPr>
          <w:rFonts w:eastAsia="Calibri"/>
          <w:kern w:val="2"/>
          <w14:ligatures w14:val="standardContextual"/>
        </w:rPr>
        <w:t>studi ini relevan dengan studi sebelumnya yang dilaksanakan</w:t>
      </w:r>
      <w:r w:rsidRPr="003E7452">
        <w:rPr>
          <w:rFonts w:eastAsia="Calibri"/>
          <w:kern w:val="2"/>
          <w:lang w:val="id-ID"/>
          <w14:ligatures w14:val="standardContextual"/>
        </w:rPr>
        <w:t xml:space="preserve"> oleh Saragih et al. (2019), yang </w:t>
      </w:r>
      <w:r>
        <w:rPr>
          <w:rFonts w:eastAsia="Calibri"/>
          <w:kern w:val="2"/>
          <w14:ligatures w14:val="standardContextual"/>
        </w:rPr>
        <w:t>menjelaskan bahwasanya</w:t>
      </w:r>
      <w:r w:rsidRPr="003E7452">
        <w:rPr>
          <w:rFonts w:eastAsia="Calibri"/>
          <w:kern w:val="2"/>
          <w:lang w:val="id-ID"/>
          <w14:ligatures w14:val="standardContextual"/>
        </w:rPr>
        <w:t xml:space="preserve"> kadar hematokrit pada darah sebelum penyimpanan cenderung stabil karena belum terjadi perubahan metabolik maupun penurunan energi sel. Penelitian tersebut juga menunjukkan bahwa pada fase awal, eritrosit masih berada dalam kondisi fisiologis yang optimal sehingga belum mengalami hemolisis atau kerusakan membran. Dengan demikian, nilai hematokrit pada hari ke-0 umumnya masih mencerminkan kualitas darah yang baik dan belum terpengaruh oleh proses penyimpanan.</w:t>
      </w:r>
    </w:p>
    <w:p w:rsidR="001B086E" w:rsidRPr="0097436A" w:rsidRDefault="001B086E" w:rsidP="001B086E">
      <w:pPr>
        <w:spacing w:after="160" w:line="480" w:lineRule="auto"/>
        <w:ind w:firstLine="426"/>
        <w:contextualSpacing/>
        <w:jc w:val="both"/>
        <w:rPr>
          <w:rFonts w:eastAsia="Calibri"/>
          <w:kern w:val="2"/>
          <w:lang w:val="id-ID"/>
          <w14:ligatures w14:val="standardContextual"/>
        </w:rPr>
      </w:pPr>
      <w:r w:rsidRPr="0097436A">
        <w:rPr>
          <w:rFonts w:eastAsia="Calibri"/>
          <w:kern w:val="2"/>
          <w:lang w:val="id-ID"/>
          <w14:ligatures w14:val="standardContextual"/>
        </w:rPr>
        <w:lastRenderedPageBreak/>
        <w:t>Secara teori, hematokrit merupakan persentase volume eritrosit terhadap total volume darah dan dipengaruhi oleh jumlah serta ukuran eritrosit. Stabilitas kadar hematokrit sangat bergantung pada integritas membran eritrosit, keseimbangan cairan intraseluler, dan ketersediaan adenosin trifosfat (ATP) sebagai sumber energi utama sel. ATP berperan penting dalam mempertahankan bentuk bikonkaf eritrosit dan menjaga keseimbangan ion di dalam sel sehingga eritrosit tetap fleksibel dan tidak mudah mengalami lisis (Hoffbrand &amp; Moss, 2016).</w:t>
      </w:r>
    </w:p>
    <w:p w:rsidR="001B086E" w:rsidRPr="0097436A" w:rsidRDefault="001B086E" w:rsidP="001B086E">
      <w:pPr>
        <w:spacing w:after="160" w:line="480" w:lineRule="auto"/>
        <w:ind w:firstLine="426"/>
        <w:contextualSpacing/>
        <w:jc w:val="both"/>
        <w:rPr>
          <w:rFonts w:eastAsia="Calibri"/>
          <w:kern w:val="2"/>
          <w:lang w:val="id-ID"/>
          <w14:ligatures w14:val="standardContextual"/>
        </w:rPr>
      </w:pPr>
      <w:r w:rsidRPr="0097436A">
        <w:rPr>
          <w:rFonts w:eastAsia="Calibri"/>
          <w:kern w:val="2"/>
          <w:lang w:val="id-ID"/>
          <w14:ligatures w14:val="standardContextual"/>
        </w:rPr>
        <w:t xml:space="preserve">Selain itu, pada awal penyimpanan belum terjadi proses </w:t>
      </w:r>
      <w:r w:rsidRPr="0097436A">
        <w:rPr>
          <w:rFonts w:eastAsia="Calibri"/>
          <w:i/>
          <w:iCs/>
          <w:kern w:val="2"/>
          <w:lang w:val="id-ID"/>
          <w14:ligatures w14:val="standardContextual"/>
        </w:rPr>
        <w:t>storage lesion</w:t>
      </w:r>
      <w:r w:rsidRPr="0097436A">
        <w:rPr>
          <w:rFonts w:eastAsia="Calibri"/>
          <w:kern w:val="2"/>
          <w:lang w:val="id-ID"/>
          <w14:ligatures w14:val="standardContextual"/>
        </w:rPr>
        <w:t xml:space="preserve"> secara signifikan. </w:t>
      </w:r>
      <w:r w:rsidRPr="0097436A">
        <w:rPr>
          <w:rFonts w:eastAsia="Calibri"/>
          <w:i/>
          <w:iCs/>
          <w:kern w:val="2"/>
          <w:lang w:val="id-ID"/>
          <w14:ligatures w14:val="standardContextual"/>
        </w:rPr>
        <w:t>Storage lesion</w:t>
      </w:r>
      <w:r w:rsidRPr="0097436A">
        <w:rPr>
          <w:rFonts w:eastAsia="Calibri"/>
          <w:kern w:val="2"/>
          <w:lang w:val="id-ID"/>
          <w14:ligatures w14:val="standardContextual"/>
        </w:rPr>
        <w:t xml:space="preserve"> merupakan perubahan biokimia dan morfologi eritrosit selama penyimpanan darah yang dapat menyebabkan penurunan kualitas darah, seperti peningkatan permeabilitas membran, perubahan volume sel, penurunan pH, dan hemolisis. Menurut Harmening (2019), darah yang masih segar cenderung memiliki stabilitas eritrosit yang lebih baik karena cadangan energi sel masih mencukupi dan membran eritrosit masih utuh, sehingga nilai hematokrit relatif tetap stabil.</w:t>
      </w:r>
    </w:p>
    <w:p w:rsidR="001B086E" w:rsidRPr="003E7452" w:rsidRDefault="001B086E" w:rsidP="001B086E">
      <w:pPr>
        <w:spacing w:after="160" w:line="480" w:lineRule="auto"/>
        <w:ind w:firstLine="426"/>
        <w:contextualSpacing/>
        <w:jc w:val="both"/>
        <w:rPr>
          <w:rFonts w:eastAsia="Calibri"/>
          <w:kern w:val="2"/>
          <w:lang w:val="id-ID"/>
          <w14:ligatures w14:val="standardContextual"/>
        </w:rPr>
      </w:pPr>
      <w:r w:rsidRPr="003E7452">
        <w:rPr>
          <w:rFonts w:eastAsia="Calibri"/>
          <w:kern w:val="2"/>
          <w:lang w:val="id-ID"/>
          <w14:ligatures w14:val="standardContextual"/>
        </w:rPr>
        <w:t xml:space="preserve">Menurut peneliti, kadar hematokrit yang masih dalam batas normal sebelum penyimpanan menunjukkan bahwa proses pengambilan, pengolahan, dan penanganan darah telah dilakukan dengan baik sesuai standar operasional prosedur. Kondisi ini sangat penting karena nilai hematokrit awal dapat dijadikan sebagai acuan (baseline) untuk mengevaluasi perubahan yang terjadi selama masa penyimpanan. Dengan demikian, dapat disimpulkan bahwa kadar hematokrit sebelum penyimpanan mencerminkan kualitas PRC yang masih segar, stabil, dan </w:t>
      </w:r>
      <w:r w:rsidRPr="003E7452">
        <w:rPr>
          <w:rFonts w:eastAsia="Calibri"/>
          <w:kern w:val="2"/>
          <w:lang w:val="id-ID"/>
          <w14:ligatures w14:val="standardContextual"/>
        </w:rPr>
        <w:lastRenderedPageBreak/>
        <w:t>layak digunakan untuk transfusi, serta menjadi indikator penting dalam menilai penurunan kualitas darah selama masa simpan.</w:t>
      </w:r>
    </w:p>
    <w:p w:rsidR="001B086E" w:rsidRDefault="001B086E" w:rsidP="001B086E">
      <w:pPr>
        <w:numPr>
          <w:ilvl w:val="0"/>
          <w:numId w:val="7"/>
        </w:numPr>
        <w:spacing w:after="160" w:line="480" w:lineRule="auto"/>
        <w:contextualSpacing/>
        <w:rPr>
          <w:rFonts w:eastAsia="Calibri"/>
          <w:b/>
          <w:bCs/>
          <w:kern w:val="2"/>
          <w:lang w:val="id-ID"/>
          <w14:ligatures w14:val="standardContextual"/>
        </w:rPr>
      </w:pPr>
      <w:r>
        <w:rPr>
          <w:rFonts w:eastAsia="Calibri"/>
          <w:b/>
          <w:bCs/>
          <w:kern w:val="2"/>
          <w:lang w:val="id-ID"/>
          <w14:ligatures w14:val="standardContextual"/>
        </w:rPr>
        <w:t>Kadar Hematokrit Setelah Disimpan 7 hari</w:t>
      </w:r>
    </w:p>
    <w:p w:rsidR="001B086E" w:rsidRPr="003E7452" w:rsidRDefault="001B086E" w:rsidP="001B086E">
      <w:pPr>
        <w:spacing w:after="160" w:line="480" w:lineRule="auto"/>
        <w:ind w:firstLine="360"/>
        <w:contextualSpacing/>
        <w:jc w:val="both"/>
        <w:rPr>
          <w:rFonts w:eastAsia="Calibri"/>
          <w:kern w:val="2"/>
          <w:lang w:val="id-ID"/>
          <w14:ligatures w14:val="standardContextual"/>
        </w:rPr>
      </w:pPr>
      <w:r w:rsidRPr="003E7452">
        <w:rPr>
          <w:rFonts w:eastAsia="Calibri"/>
          <w:kern w:val="2"/>
          <w:lang w:val="id-ID"/>
          <w14:ligatures w14:val="standardContextual"/>
        </w:rPr>
        <w:t>Hasil penelitian menunjukkan bahwa kadar hematokrit (Hct) pada kantong darah PRC setelah penyimpanan selama 7 hari mengalami penurunan menjadi rata-rata 36,06 ± 7,408% dibandingkan sebelum penyimpanan. Penurunan ini menunjukkan adanya perubahan pada komponen eritrosit selama masa simpan, meskipun nilainya masih berada dalam batas yang dapat diterima. Penurunan kadar hematokrit mencerminkan berkurangnya proporsi volume eritrosit terhadap total volume darah, yang mengindikasikan adanya perubahan baik pada jumlah maupun volume sel darah merah selama penyimpanan.</w:t>
      </w:r>
    </w:p>
    <w:p w:rsidR="001B086E" w:rsidRPr="003E7452" w:rsidRDefault="001B086E" w:rsidP="001B086E">
      <w:pPr>
        <w:spacing w:after="160" w:line="480" w:lineRule="auto"/>
        <w:ind w:firstLine="360"/>
        <w:contextualSpacing/>
        <w:jc w:val="both"/>
        <w:rPr>
          <w:rFonts w:eastAsia="Calibri"/>
          <w:kern w:val="2"/>
          <w:lang w:val="fi-FI"/>
          <w14:ligatures w14:val="standardContextual"/>
        </w:rPr>
      </w:pPr>
      <w:r>
        <w:rPr>
          <w:rFonts w:eastAsia="Calibri"/>
          <w:kern w:val="2"/>
          <w:lang w:val="fi-FI"/>
          <w14:ligatures w14:val="standardContextual"/>
        </w:rPr>
        <w:t>Temuan ini relevan dengan studi sebelumnya</w:t>
      </w:r>
      <w:r w:rsidRPr="003E7452">
        <w:rPr>
          <w:rFonts w:eastAsia="Calibri"/>
          <w:kern w:val="2"/>
          <w:lang w:val="fi-FI"/>
          <w14:ligatures w14:val="standardContextual"/>
        </w:rPr>
        <w:t xml:space="preserve"> oleh Saragih et al. (2019) yang </w:t>
      </w:r>
      <w:r>
        <w:rPr>
          <w:rFonts w:eastAsia="Calibri"/>
          <w:kern w:val="2"/>
          <w:lang w:val="fi-FI"/>
          <w14:ligatures w14:val="standardContextual"/>
        </w:rPr>
        <w:t>menjelaskan</w:t>
      </w:r>
      <w:r w:rsidRPr="003E7452">
        <w:rPr>
          <w:rFonts w:eastAsia="Calibri"/>
          <w:kern w:val="2"/>
          <w:lang w:val="fi-FI"/>
          <w14:ligatures w14:val="standardContextual"/>
        </w:rPr>
        <w:t xml:space="preserve"> bahwa kadar hematokrit cenderung mengalami penurunan selama masa penyimpanan, meskipun secara statistik tidak selalu signifikan dan masih berada dalam batas normal. Selain itu, Mudayatiningsih dan Abiddin (2025) juga melaporkan bahwa perubahan pada membran eritrosit selama penyimpanan dapat memengaruhi nilai hematokrit. Kesamaan hasil ini menunjukkan bahwa penurunan hematokrit merupakan fenomena yang umum terjadi pada penyimpanan komponen darah, khususnya PRC.</w:t>
      </w:r>
    </w:p>
    <w:p w:rsidR="001B086E" w:rsidRPr="0097436A" w:rsidRDefault="001B086E" w:rsidP="001B086E">
      <w:pPr>
        <w:spacing w:after="160" w:line="480" w:lineRule="auto"/>
        <w:ind w:firstLine="360"/>
        <w:contextualSpacing/>
        <w:jc w:val="both"/>
        <w:rPr>
          <w:rFonts w:eastAsia="Calibri"/>
          <w:kern w:val="2"/>
          <w:lang w:val="fi-FI"/>
          <w14:ligatures w14:val="standardContextual"/>
        </w:rPr>
      </w:pPr>
      <w:r w:rsidRPr="0097436A">
        <w:rPr>
          <w:rFonts w:eastAsia="Calibri"/>
          <w:kern w:val="2"/>
          <w:lang w:val="fi-FI"/>
          <w14:ligatures w14:val="standardContextual"/>
        </w:rPr>
        <w:t xml:space="preserve">Secara teori, penurunan kadar hematokrit selama penyimpanan berkaitan erat dengan proses </w:t>
      </w:r>
      <w:r w:rsidRPr="0097436A">
        <w:rPr>
          <w:rFonts w:eastAsia="Calibri"/>
          <w:i/>
          <w:iCs/>
          <w:kern w:val="2"/>
          <w:lang w:val="fi-FI"/>
          <w14:ligatures w14:val="standardContextual"/>
        </w:rPr>
        <w:t>storage lesion</w:t>
      </w:r>
      <w:r w:rsidRPr="0097436A">
        <w:rPr>
          <w:rFonts w:eastAsia="Calibri"/>
          <w:kern w:val="2"/>
          <w:lang w:val="fi-FI"/>
          <w14:ligatures w14:val="standardContextual"/>
        </w:rPr>
        <w:t xml:space="preserve"> yang terjadi pada eritrosit. Selama penyimpanan, eritrosit tetap melakukan metabolisme anaerob yang menyebabkan penurunan kadar adenosin trifosfat (ATP) sebagai sumber energi utama sel. Penurunan ATP </w:t>
      </w:r>
      <w:r w:rsidRPr="0097436A">
        <w:rPr>
          <w:rFonts w:eastAsia="Calibri"/>
          <w:kern w:val="2"/>
          <w:lang w:val="fi-FI"/>
          <w14:ligatures w14:val="standardContextual"/>
        </w:rPr>
        <w:lastRenderedPageBreak/>
        <w:t>menyebabkan gangguan pada pompa ion membran eritrosit sehingga terjadi ketidakseimbangan elektrolit, seperti keluarnya kalium dari dalam sel dan masuknya natrium serta air ke dalam sel. Kondisi ini menyebabkan perubahan permeabilitas membran dan perubahan volume eritrosit yang dapat memengaruhi nilai hematokrit (Harmening, 2019).</w:t>
      </w:r>
    </w:p>
    <w:p w:rsidR="001B086E" w:rsidRPr="0097436A" w:rsidRDefault="001B086E" w:rsidP="001B086E">
      <w:pPr>
        <w:spacing w:after="160" w:line="480" w:lineRule="auto"/>
        <w:ind w:firstLine="360"/>
        <w:contextualSpacing/>
        <w:jc w:val="both"/>
        <w:rPr>
          <w:rFonts w:eastAsia="Calibri"/>
          <w:kern w:val="2"/>
          <w:lang w:val="fi-FI"/>
          <w14:ligatures w14:val="standardContextual"/>
        </w:rPr>
      </w:pPr>
      <w:r w:rsidRPr="0097436A">
        <w:rPr>
          <w:rFonts w:eastAsia="Calibri"/>
          <w:kern w:val="2"/>
          <w:lang w:val="fi-FI"/>
          <w14:ligatures w14:val="standardContextual"/>
        </w:rPr>
        <w:t xml:space="preserve">Selain itu, stres oksidatif yang terjadi selama penyimpanan juga </w:t>
      </w:r>
      <w:r>
        <w:rPr>
          <w:rFonts w:eastAsia="Calibri"/>
          <w:kern w:val="2"/>
          <w:lang w:val="fi-FI"/>
          <w14:ligatures w14:val="standardContextual"/>
        </w:rPr>
        <w:t xml:space="preserve">mampu mengakibatkan adanya </w:t>
      </w:r>
      <w:r w:rsidRPr="0097436A">
        <w:rPr>
          <w:rFonts w:eastAsia="Calibri"/>
          <w:kern w:val="2"/>
          <w:lang w:val="fi-FI"/>
          <w14:ligatures w14:val="standardContextual"/>
        </w:rPr>
        <w:t xml:space="preserve">kerusakan membran eritrosit. Kerusakan </w:t>
      </w:r>
      <w:r>
        <w:rPr>
          <w:rFonts w:eastAsia="Calibri"/>
          <w:kern w:val="2"/>
          <w:lang w:val="fi-FI"/>
          <w14:ligatures w14:val="standardContextual"/>
        </w:rPr>
        <w:t>ini</w:t>
      </w:r>
      <w:r w:rsidRPr="0097436A">
        <w:rPr>
          <w:rFonts w:eastAsia="Calibri"/>
          <w:kern w:val="2"/>
          <w:lang w:val="fi-FI"/>
          <w14:ligatures w14:val="standardContextual"/>
        </w:rPr>
        <w:t xml:space="preserve"> membuat eritrosit menjadi lebih kaku, kehilangan fleksibilitas, dan mudah mengalami hemolisis. Berkurangnya jumlah eritrosit utuh akan menyebabkan penurunan persentase volume eritrosit terhadap total volume darah sehingga kadar hematokrit menurun. Menurut Hoffbrand dan Moss (2016), perubahan morfologi eritrosit selama penyimpanan, seperti perubahan bentuk dari bikonkaf menjadi lebih kaku dan tidak elastis, merupakan salah satu faktor utama yang memengaruhi penurunan kualitas darah simpan.</w:t>
      </w:r>
    </w:p>
    <w:p w:rsidR="001B086E" w:rsidRPr="003E7452" w:rsidRDefault="001B086E" w:rsidP="001B086E">
      <w:pPr>
        <w:spacing w:after="160" w:line="480" w:lineRule="auto"/>
        <w:ind w:firstLine="360"/>
        <w:contextualSpacing/>
        <w:jc w:val="both"/>
        <w:rPr>
          <w:rFonts w:eastAsia="Calibri"/>
          <w:kern w:val="2"/>
          <w:lang w:val="fi-FI"/>
          <w14:ligatures w14:val="standardContextual"/>
        </w:rPr>
      </w:pPr>
      <w:r w:rsidRPr="003E7452">
        <w:rPr>
          <w:rFonts w:eastAsia="Calibri"/>
          <w:kern w:val="2"/>
          <w:lang w:val="fi-FI"/>
          <w14:ligatures w14:val="standardContextual"/>
        </w:rPr>
        <w:t>Menurut peneliti, penurunan kadar hematokrit setelah penyimpanan selama 7 hari merupakan konsekuensi fisiologis dari proses penyimpanan darah yang tidak dapat dihindari. Namun demikian, karena nilainya masih berada dalam batas yang dapat diterima, maka kualitas PRC masih dapat dipertahankan untuk keperluan transfusi dalam periode tersebut. Hal ini menunjukkan bahwa masa simpan 7 hari masih relatif aman, meskipun pemantauan kualitas darah tetap diperlukan untuk menjamin efektivitas dan keamanan transfusi.</w:t>
      </w:r>
    </w:p>
    <w:p w:rsidR="001B086E" w:rsidRPr="008A44A6" w:rsidRDefault="001B086E" w:rsidP="001B086E">
      <w:pPr>
        <w:numPr>
          <w:ilvl w:val="0"/>
          <w:numId w:val="7"/>
        </w:numPr>
        <w:spacing w:after="160" w:line="480" w:lineRule="auto"/>
        <w:ind w:left="709" w:hanging="709"/>
        <w:contextualSpacing/>
        <w:jc w:val="both"/>
        <w:rPr>
          <w:rFonts w:eastAsia="Calibri"/>
          <w:b/>
          <w:bCs/>
          <w:kern w:val="2"/>
          <w:lang w:val="id-ID"/>
          <w14:ligatures w14:val="standardContextual"/>
        </w:rPr>
      </w:pPr>
      <w:r w:rsidRPr="003E7452">
        <w:rPr>
          <w:rFonts w:eastAsia="Calibri"/>
          <w:b/>
          <w:bCs/>
          <w:kern w:val="2"/>
          <w:lang w:val="sv-SE"/>
          <w14:ligatures w14:val="standardContextual"/>
        </w:rPr>
        <w:t xml:space="preserve">Analisis pengaruh masa simpan 7 hari pada </w:t>
      </w:r>
      <w:r w:rsidRPr="003E7452">
        <w:rPr>
          <w:rFonts w:eastAsia="Calibri"/>
          <w:b/>
          <w:bCs/>
          <w:i/>
          <w:iCs/>
          <w:kern w:val="2"/>
          <w:lang w:val="sv-SE"/>
          <w14:ligatures w14:val="standardContextual"/>
        </w:rPr>
        <w:t>packed red cells</w:t>
      </w:r>
      <w:r w:rsidRPr="003E7452">
        <w:rPr>
          <w:rFonts w:eastAsia="Calibri"/>
          <w:b/>
          <w:bCs/>
          <w:kern w:val="2"/>
          <w:lang w:val="sv-SE"/>
          <w14:ligatures w14:val="standardContextual"/>
        </w:rPr>
        <w:t xml:space="preserve"> terhadap kadar hemoglobin</w:t>
      </w:r>
    </w:p>
    <w:p w:rsidR="001B086E" w:rsidRPr="00F35BF5" w:rsidRDefault="001B086E" w:rsidP="001B086E">
      <w:pPr>
        <w:spacing w:after="160" w:line="480" w:lineRule="auto"/>
        <w:ind w:firstLine="709"/>
        <w:contextualSpacing/>
        <w:jc w:val="both"/>
        <w:rPr>
          <w:rFonts w:eastAsia="Calibri"/>
          <w:kern w:val="2"/>
          <w:lang w:val="id-ID"/>
          <w14:ligatures w14:val="standardContextual"/>
        </w:rPr>
      </w:pPr>
      <w:r w:rsidRPr="00F35BF5">
        <w:rPr>
          <w:rFonts w:eastAsia="Calibri"/>
          <w:kern w:val="2"/>
          <w:lang w:val="id-ID"/>
          <w14:ligatures w14:val="standardContextual"/>
        </w:rPr>
        <w:lastRenderedPageBreak/>
        <w:t xml:space="preserve">Hasil </w:t>
      </w:r>
      <w:r>
        <w:rPr>
          <w:rFonts w:eastAsia="Calibri"/>
          <w:kern w:val="2"/>
          <w14:ligatures w14:val="standardContextual"/>
        </w:rPr>
        <w:t>dari studi memperlihatkan bahwasanya</w:t>
      </w:r>
      <w:r w:rsidRPr="00F35BF5">
        <w:rPr>
          <w:rFonts w:eastAsia="Calibri"/>
          <w:kern w:val="2"/>
          <w:lang w:val="id-ID"/>
          <w14:ligatures w14:val="standardContextual"/>
        </w:rPr>
        <w:t xml:space="preserve"> kadar hemoglobin (Hb) pada komponen packed red cells (PRC) mengalami penurunan dari rata-rata 15,17 ± 1,646 g/dL sebelum penyimpanan menjadi 12,10 ± 2,576 g/dL setelah penyimpanan selama 7 hari, dengan selisih (</w:t>
      </w:r>
      <w:r w:rsidRPr="00A14674">
        <w:rPr>
          <w:rFonts w:eastAsia="Calibri"/>
          <w:kern w:val="2"/>
          <w:lang w:val="en-US"/>
          <w14:ligatures w14:val="standardContextual"/>
        </w:rPr>
        <w:t>Δ</w:t>
      </w:r>
      <w:r w:rsidRPr="00F35BF5">
        <w:rPr>
          <w:rFonts w:eastAsia="Calibri"/>
          <w:kern w:val="2"/>
          <w:lang w:val="id-ID"/>
          <w14:ligatures w14:val="standardContextual"/>
        </w:rPr>
        <w:t xml:space="preserve">) sebesar 3,06. Secara statistik, hasil </w:t>
      </w:r>
      <w:r>
        <w:rPr>
          <w:rFonts w:eastAsia="Calibri"/>
          <w:kern w:val="2"/>
          <w14:ligatures w14:val="standardContextual"/>
        </w:rPr>
        <w:t>pengujian</w:t>
      </w:r>
      <w:r w:rsidRPr="00F35BF5">
        <w:rPr>
          <w:rFonts w:eastAsia="Calibri"/>
          <w:kern w:val="2"/>
          <w:lang w:val="id-ID"/>
          <w14:ligatures w14:val="standardContextual"/>
        </w:rPr>
        <w:t xml:space="preserve"> </w:t>
      </w:r>
      <w:r w:rsidRPr="009401EA">
        <w:rPr>
          <w:rFonts w:eastAsia="Calibri"/>
          <w:i/>
          <w:kern w:val="2"/>
          <w:lang w:val="id-ID"/>
          <w14:ligatures w14:val="standardContextual"/>
        </w:rPr>
        <w:t>Wilcoxon Signed Rank Test</w:t>
      </w:r>
      <w:r w:rsidRPr="00F35BF5">
        <w:rPr>
          <w:rFonts w:eastAsia="Calibri"/>
          <w:kern w:val="2"/>
          <w:lang w:val="id-ID"/>
          <w14:ligatures w14:val="standardContextual"/>
        </w:rPr>
        <w:t xml:space="preserve"> </w:t>
      </w:r>
      <w:r>
        <w:rPr>
          <w:rFonts w:eastAsia="Calibri"/>
          <w:kern w:val="2"/>
          <w14:ligatures w14:val="standardContextual"/>
        </w:rPr>
        <w:t>menghasilkan</w:t>
      </w:r>
      <w:r w:rsidRPr="00F35BF5">
        <w:rPr>
          <w:rFonts w:eastAsia="Calibri"/>
          <w:kern w:val="2"/>
          <w:lang w:val="id-ID"/>
          <w14:ligatures w14:val="standardContextual"/>
        </w:rPr>
        <w:t xml:space="preserve"> nilai p-value &lt;0,001 yang </w:t>
      </w:r>
      <w:r>
        <w:rPr>
          <w:rFonts w:eastAsia="Calibri"/>
          <w:kern w:val="2"/>
          <w14:ligatures w14:val="standardContextual"/>
        </w:rPr>
        <w:t>artinya</w:t>
      </w:r>
      <w:r w:rsidRPr="00F35BF5">
        <w:rPr>
          <w:rFonts w:eastAsia="Calibri"/>
          <w:kern w:val="2"/>
          <w:lang w:val="id-ID"/>
          <w14:ligatures w14:val="standardContextual"/>
        </w:rPr>
        <w:t xml:space="preserve"> terdapat pengaruh yang signifikan antara masa simpan terhadap kadar hemoglobin. Temuan ini mengindikasikan bahwa semakin lama darah disimpan, maka kadar hemoglobin cenderung mengalami penurunan, sehingga masa simpan 7 hari memberikan pengaruh yang bermakna terhadap kualitas hemoglobin pada PRC.</w:t>
      </w:r>
    </w:p>
    <w:p w:rsidR="001B086E" w:rsidRPr="00F35BF5" w:rsidRDefault="001B086E" w:rsidP="001B086E">
      <w:pPr>
        <w:spacing w:after="160" w:line="480" w:lineRule="auto"/>
        <w:ind w:firstLine="709"/>
        <w:contextualSpacing/>
        <w:jc w:val="both"/>
        <w:rPr>
          <w:rFonts w:eastAsia="Calibri"/>
          <w:kern w:val="2"/>
          <w:lang w:val="id-ID"/>
          <w14:ligatures w14:val="standardContextual"/>
        </w:rPr>
      </w:pPr>
      <w:r>
        <w:rPr>
          <w:rFonts w:eastAsia="Calibri"/>
          <w:kern w:val="2"/>
          <w14:ligatures w14:val="standardContextual"/>
        </w:rPr>
        <w:t>Temuan studi ini relevan dengan</w:t>
      </w:r>
      <w:r w:rsidRPr="00F35BF5">
        <w:rPr>
          <w:rFonts w:eastAsia="Calibri"/>
          <w:kern w:val="2"/>
          <w:lang w:val="id-ID"/>
          <w14:ligatures w14:val="standardContextual"/>
        </w:rPr>
        <w:t xml:space="preserve"> Mudayatiningsih dan Abiddin (2025) yang </w:t>
      </w:r>
      <w:r>
        <w:rPr>
          <w:rFonts w:eastAsia="Calibri"/>
          <w:kern w:val="2"/>
          <w14:ligatures w14:val="standardContextual"/>
        </w:rPr>
        <w:t>menjelaskan bahwasanya</w:t>
      </w:r>
      <w:r w:rsidRPr="00F35BF5">
        <w:rPr>
          <w:rFonts w:eastAsia="Calibri"/>
          <w:kern w:val="2"/>
          <w:lang w:val="id-ID"/>
          <w14:ligatures w14:val="standardContextual"/>
        </w:rPr>
        <w:t xml:space="preserve"> penyimpanan darah menyebabkan penurunan kadar hemoglobin akibat kerusakan eritrosit dan hemolisis. Selain itu, Saragih et al. (2019) juga melaporkan bahwa perubahan kadar hemoglobin selama penyimpanan berkaitan dengan penurunan viabilitas eritrosit, meskipun pada beberapa kondisi penurunannya tidak selalu signifikan secara statistik. Perbedaan tingkat signifikansi ini dapat dipengaruhi oleh variasi metode pemeriksaan, lama penyimpanan, serta kondisi penyimpanan darah yang digunakan dalam masing-masing penelitian.</w:t>
      </w:r>
    </w:p>
    <w:p w:rsidR="001B086E" w:rsidRPr="00F35BF5" w:rsidRDefault="001B086E" w:rsidP="001B086E">
      <w:pPr>
        <w:spacing w:after="160" w:line="480" w:lineRule="auto"/>
        <w:ind w:firstLine="709"/>
        <w:contextualSpacing/>
        <w:jc w:val="both"/>
        <w:rPr>
          <w:rFonts w:eastAsia="Calibri"/>
          <w:kern w:val="2"/>
          <w:lang w:val="id-ID"/>
          <w14:ligatures w14:val="standardContextual"/>
        </w:rPr>
      </w:pPr>
      <w:r w:rsidRPr="00F35BF5">
        <w:rPr>
          <w:rFonts w:eastAsia="Calibri"/>
          <w:kern w:val="2"/>
          <w:lang w:val="id-ID"/>
          <w14:ligatures w14:val="standardContextual"/>
        </w:rPr>
        <w:t xml:space="preserve">Secara teori, penurunan kadar hemoglobin selama penyimpanan erat kaitannya dengan proses storage lesion, yaitu perubahan biokimia dan morfologi eritrosit yang terjadi selama masa simpan. Eritrosit tetap melakukan metabolisme anaerob meskipun disimpan pada suhu rendah, yang menyebabkan penurunan kadar ATP sebagai sumber energi utama. Penurunan ATP mengakibatkan gangguan fungsi membran eritrosit, sehingga sel menjadi lebih rapuh dan rentan mengalami </w:t>
      </w:r>
      <w:r w:rsidRPr="00F35BF5">
        <w:rPr>
          <w:rFonts w:eastAsia="Calibri"/>
          <w:kern w:val="2"/>
          <w:lang w:val="id-ID"/>
          <w14:ligatures w14:val="standardContextual"/>
        </w:rPr>
        <w:lastRenderedPageBreak/>
        <w:t>hemolisis. Kerusakan membran ini memungkinkan hemoglobin keluar dari dalam sel ke dalam plasma, sehingga kadar hemoglobin terukur menjadi menurun. Selain itu, peningkatan stres oksidatif serta akumulasi asam laktat yang menurunkan pH darah juga mempercepat kerusakan eritrosit dan menurunkan kemampuan hemoglobin dalam mengikat oksigen. Perubahan morfologi eritrosit dari bentuk bikonkaf menjadi lebih kaku dan sferis akibat kehilangan lipid membran juga turut memperburuk stabilitas sel selama penyimpanan.</w:t>
      </w:r>
    </w:p>
    <w:p w:rsidR="001B086E" w:rsidRPr="00F35BF5" w:rsidRDefault="001B086E" w:rsidP="001B086E">
      <w:pPr>
        <w:spacing w:after="160" w:line="480" w:lineRule="auto"/>
        <w:ind w:firstLine="709"/>
        <w:contextualSpacing/>
        <w:jc w:val="both"/>
        <w:rPr>
          <w:rFonts w:eastAsia="Calibri"/>
          <w:kern w:val="2"/>
          <w:lang w:val="id-ID"/>
          <w14:ligatures w14:val="standardContextual"/>
        </w:rPr>
      </w:pPr>
      <w:r w:rsidRPr="00F35BF5">
        <w:rPr>
          <w:rFonts w:eastAsia="Calibri"/>
          <w:kern w:val="2"/>
          <w:lang w:val="id-ID"/>
          <w14:ligatures w14:val="standardContextual"/>
        </w:rPr>
        <w:t>Menurut peneliti, penurunan kadar hemoglobin yang signifikan secara statistik setelah penyimpanan 7 hari menunjukkan bahwa masa simpan merupakan faktor penting yang memengaruhi kualitas PRC. Meskipun demikian, kadar hemoglobin yang masih berada dalam batas yang dapat diterima menunjukkan bahwa PRC masih layak digunakan untuk transfusi dalam periode tersebut. Oleh karena itu, pengelolaan waktu penyimpanan dan pemantauan kualitas darah menjadi hal yang sangat penting untuk memastikan efektivitas dan keamanan transfusi darah.</w:t>
      </w:r>
    </w:p>
    <w:p w:rsidR="001B086E" w:rsidRPr="00F35BF5" w:rsidRDefault="001B086E" w:rsidP="001B086E">
      <w:pPr>
        <w:spacing w:after="160" w:line="480" w:lineRule="auto"/>
        <w:ind w:firstLine="709"/>
        <w:contextualSpacing/>
        <w:jc w:val="both"/>
        <w:rPr>
          <w:rFonts w:eastAsia="Calibri"/>
          <w:kern w:val="2"/>
          <w:lang w:val="id-ID"/>
          <w14:ligatures w14:val="standardContextual"/>
        </w:rPr>
      </w:pPr>
      <w:r w:rsidRPr="00F35BF5">
        <w:rPr>
          <w:rFonts w:eastAsia="Calibri"/>
          <w:kern w:val="2"/>
          <w:lang w:val="id-ID"/>
          <w14:ligatures w14:val="standardContextual"/>
        </w:rPr>
        <w:t xml:space="preserve">Meskipun demikian, berdasarkan data penelitian ditemukan beberapa sampel yang mengalami peningkatan kadar hemoglobin setelah penyimpanan selama 7 hari. Kondisi ini menunjukkan bahwa respons eritrosit terhadap penyimpanan tidak selalu seragam pada setiap unit PRC. Menurut Yoshida et al. (2019), perubahan yang terjadi selama penyimpanan dipengaruhi oleh karakteristik eritrosit masing-masing donor, termasuk umur sel, kondisi metabolik, dan kemampuan membran eritrosit dalam mempertahankan stabilitasnya. Selain itu, distribusi eritrosit yang tidak homogen dalam kantong darah selama penyimpanan </w:t>
      </w:r>
      <w:r w:rsidRPr="00F35BF5">
        <w:rPr>
          <w:rFonts w:eastAsia="Calibri"/>
          <w:kern w:val="2"/>
          <w:lang w:val="id-ID"/>
          <w14:ligatures w14:val="standardContextual"/>
        </w:rPr>
        <w:lastRenderedPageBreak/>
        <w:t>serta proses homogenisasi sampel sebelum pemeriksaan dapat menyebabkan konsentrasi hemoglobin yang terukur menjadi lebih tinggi pada beberapa sampel (Harmening, 2019). Oleh karena itu, peningkatan kadar hemoglobin pada sebagian kecil sampel masih dapat terjadi meskipun secara umum kadar hemoglobin menunjukkan kecenderungan menurun selama masa penyimpanan.</w:t>
      </w:r>
    </w:p>
    <w:p w:rsidR="001B086E" w:rsidRDefault="001B086E" w:rsidP="001B086E">
      <w:pPr>
        <w:numPr>
          <w:ilvl w:val="0"/>
          <w:numId w:val="7"/>
        </w:numPr>
        <w:spacing w:after="160" w:line="480" w:lineRule="auto"/>
        <w:ind w:left="709" w:hanging="709"/>
        <w:contextualSpacing/>
        <w:jc w:val="both"/>
        <w:rPr>
          <w:rFonts w:eastAsia="Calibri"/>
          <w:b/>
          <w:bCs/>
          <w:kern w:val="2"/>
          <w:lang w:val="id-ID"/>
          <w14:ligatures w14:val="standardContextual"/>
        </w:rPr>
      </w:pPr>
      <w:r w:rsidRPr="003E7452">
        <w:rPr>
          <w:rFonts w:eastAsia="Calibri"/>
          <w:b/>
          <w:bCs/>
          <w:kern w:val="2"/>
          <w:lang w:val="sv-SE"/>
          <w14:ligatures w14:val="standardContextual"/>
        </w:rPr>
        <w:t xml:space="preserve">Analisis pengaruh masa simpan 7 hari pada </w:t>
      </w:r>
      <w:r w:rsidRPr="003E7452">
        <w:rPr>
          <w:rFonts w:eastAsia="Calibri"/>
          <w:b/>
          <w:bCs/>
          <w:i/>
          <w:iCs/>
          <w:kern w:val="2"/>
          <w:lang w:val="sv-SE"/>
          <w14:ligatures w14:val="standardContextual"/>
        </w:rPr>
        <w:t>packed red cells</w:t>
      </w:r>
      <w:r w:rsidRPr="003E7452">
        <w:rPr>
          <w:rFonts w:eastAsia="Calibri"/>
          <w:b/>
          <w:bCs/>
          <w:kern w:val="2"/>
          <w:lang w:val="sv-SE"/>
          <w14:ligatures w14:val="standardContextual"/>
        </w:rPr>
        <w:t xml:space="preserve"> terhadap kadar hematokrit</w:t>
      </w:r>
    </w:p>
    <w:p w:rsidR="001B086E" w:rsidRPr="00F35BF5" w:rsidRDefault="001B086E" w:rsidP="001B086E">
      <w:pPr>
        <w:spacing w:after="160" w:line="480" w:lineRule="auto"/>
        <w:ind w:firstLine="709"/>
        <w:contextualSpacing/>
        <w:jc w:val="both"/>
        <w:rPr>
          <w:rFonts w:eastAsia="Calibri"/>
          <w:kern w:val="2"/>
          <w:lang w:val="id-ID"/>
          <w14:ligatures w14:val="standardContextual"/>
        </w:rPr>
      </w:pPr>
      <w:r w:rsidRPr="00F35BF5">
        <w:rPr>
          <w:rFonts w:eastAsia="Calibri"/>
          <w:kern w:val="2"/>
          <w:lang w:val="id-ID"/>
          <w14:ligatures w14:val="standardContextual"/>
        </w:rPr>
        <w:t xml:space="preserve">Hasil </w:t>
      </w:r>
      <w:r>
        <w:rPr>
          <w:rFonts w:eastAsia="Calibri"/>
          <w:kern w:val="2"/>
          <w14:ligatures w14:val="standardContextual"/>
        </w:rPr>
        <w:t>studi memperlihatkan bahwasanya</w:t>
      </w:r>
      <w:r w:rsidRPr="00F35BF5">
        <w:rPr>
          <w:rFonts w:eastAsia="Calibri"/>
          <w:kern w:val="2"/>
          <w:lang w:val="id-ID"/>
          <w14:ligatures w14:val="standardContextual"/>
        </w:rPr>
        <w:t xml:space="preserve"> kadar hematokrit (Hct) pada komponen packed red cells (PRC) mengalami penurunan dari rata-rata 44,80 ± 5,695% sebelum penyimpanan menjadi 36,06 ± 7,408% setelah penyimpanan selama 7 hari, dengan selisih (</w:t>
      </w:r>
      <w:r w:rsidRPr="00A14674">
        <w:rPr>
          <w:rFonts w:eastAsia="Calibri"/>
          <w:kern w:val="2"/>
          <w:lang w:val="en-US"/>
          <w14:ligatures w14:val="standardContextual"/>
        </w:rPr>
        <w:t>Δ</w:t>
      </w:r>
      <w:r w:rsidRPr="00F35BF5">
        <w:rPr>
          <w:rFonts w:eastAsia="Calibri"/>
          <w:kern w:val="2"/>
          <w:lang w:val="id-ID"/>
          <w14:ligatures w14:val="standardContextual"/>
        </w:rPr>
        <w:t xml:space="preserve">) sebesar 8,73. Secara statistik, hasil </w:t>
      </w:r>
      <w:r>
        <w:rPr>
          <w:rFonts w:eastAsia="Calibri"/>
          <w:kern w:val="2"/>
          <w14:ligatures w14:val="standardContextual"/>
        </w:rPr>
        <w:t>pengujian</w:t>
      </w:r>
      <w:r w:rsidRPr="00F35BF5">
        <w:rPr>
          <w:rFonts w:eastAsia="Calibri"/>
          <w:kern w:val="2"/>
          <w:lang w:val="id-ID"/>
          <w14:ligatures w14:val="standardContextual"/>
        </w:rPr>
        <w:t xml:space="preserve"> Wilcoxon Signed Rank Test </w:t>
      </w:r>
      <w:r>
        <w:rPr>
          <w:rFonts w:eastAsia="Calibri"/>
          <w:kern w:val="2"/>
          <w14:ligatures w14:val="standardContextual"/>
        </w:rPr>
        <w:t>menghasilkan</w:t>
      </w:r>
      <w:r w:rsidRPr="00F35BF5">
        <w:rPr>
          <w:rFonts w:eastAsia="Calibri"/>
          <w:kern w:val="2"/>
          <w:lang w:val="id-ID"/>
          <w14:ligatures w14:val="standardContextual"/>
        </w:rPr>
        <w:t xml:space="preserve"> nilai p-value &lt;0,001 yang </w:t>
      </w:r>
      <w:r>
        <w:rPr>
          <w:rFonts w:eastAsia="Calibri"/>
          <w:kern w:val="2"/>
          <w14:ligatures w14:val="standardContextual"/>
        </w:rPr>
        <w:t>artinya</w:t>
      </w:r>
      <w:r w:rsidRPr="00F35BF5">
        <w:rPr>
          <w:rFonts w:eastAsia="Calibri"/>
          <w:kern w:val="2"/>
          <w:lang w:val="id-ID"/>
          <w14:ligatures w14:val="standardContextual"/>
        </w:rPr>
        <w:t xml:space="preserve"> terdapat pengaruh </w:t>
      </w:r>
      <w:r>
        <w:rPr>
          <w:rFonts w:eastAsia="Calibri"/>
          <w:kern w:val="2"/>
          <w14:ligatures w14:val="standardContextual"/>
        </w:rPr>
        <w:t>bermakna</w:t>
      </w:r>
      <w:r w:rsidRPr="00F35BF5">
        <w:rPr>
          <w:rFonts w:eastAsia="Calibri"/>
          <w:kern w:val="2"/>
          <w:lang w:val="id-ID"/>
          <w14:ligatures w14:val="standardContextual"/>
        </w:rPr>
        <w:t xml:space="preserve"> antara masa simpan terhadap kadar hematokrit. Temuan ini </w:t>
      </w:r>
      <w:r>
        <w:rPr>
          <w:rFonts w:eastAsia="Calibri"/>
          <w:kern w:val="2"/>
          <w14:ligatures w14:val="standardContextual"/>
        </w:rPr>
        <w:t>memperlihatkan jika</w:t>
      </w:r>
      <w:r w:rsidRPr="00F35BF5">
        <w:rPr>
          <w:rFonts w:eastAsia="Calibri"/>
          <w:kern w:val="2"/>
          <w:lang w:val="id-ID"/>
          <w14:ligatures w14:val="standardContextual"/>
        </w:rPr>
        <w:t xml:space="preserve"> lama penyimpanan berpengaruh terhadap jumlah dan volume eritrosit, sehingga masa simpan 7 hari memberikan dampak yang bermakna terhadap penurunan kadar hematokrit pada PRC.</w:t>
      </w:r>
    </w:p>
    <w:p w:rsidR="001B086E" w:rsidRPr="00F35BF5" w:rsidRDefault="001B086E" w:rsidP="001B086E">
      <w:pPr>
        <w:spacing w:after="160" w:line="480" w:lineRule="auto"/>
        <w:ind w:firstLine="709"/>
        <w:contextualSpacing/>
        <w:jc w:val="both"/>
        <w:rPr>
          <w:rFonts w:eastAsia="Calibri"/>
          <w:kern w:val="2"/>
          <w:lang w:val="id-ID"/>
          <w14:ligatures w14:val="standardContextual"/>
        </w:rPr>
      </w:pPr>
      <w:r w:rsidRPr="00F35BF5">
        <w:rPr>
          <w:rFonts w:eastAsia="Calibri"/>
          <w:kern w:val="2"/>
          <w:lang w:val="id-ID"/>
          <w14:ligatures w14:val="standardContextual"/>
        </w:rPr>
        <w:t xml:space="preserve">Hasil </w:t>
      </w:r>
      <w:r>
        <w:rPr>
          <w:rFonts w:eastAsia="Calibri"/>
          <w:kern w:val="2"/>
          <w14:ligatures w14:val="standardContextual"/>
        </w:rPr>
        <w:t>studi ini sesuai dengan studi</w:t>
      </w:r>
      <w:r w:rsidRPr="00F35BF5">
        <w:rPr>
          <w:rFonts w:eastAsia="Calibri"/>
          <w:kern w:val="2"/>
          <w:lang w:val="id-ID"/>
          <w14:ligatures w14:val="standardContextual"/>
        </w:rPr>
        <w:t xml:space="preserve"> sebelumnya oleh Mudayatiningsih dan Abiddin (2025) yang </w:t>
      </w:r>
      <w:r>
        <w:rPr>
          <w:rFonts w:eastAsia="Calibri"/>
          <w:kern w:val="2"/>
          <w14:ligatures w14:val="standardContextual"/>
        </w:rPr>
        <w:t>mengemukakan jika</w:t>
      </w:r>
      <w:r w:rsidRPr="00F35BF5">
        <w:rPr>
          <w:rFonts w:eastAsia="Calibri"/>
          <w:kern w:val="2"/>
          <w:lang w:val="id-ID"/>
          <w14:ligatures w14:val="standardContextual"/>
        </w:rPr>
        <w:t xml:space="preserve"> penyimpanan darah menyebabkan penurunan nilai hematokrit akibat perubahan metabolik dan kerusakan eritrosit. Selain itu, Dagradi et al. (2024) juga menyebutkan bahwa perubahan struktur eritrosit selama penyimpanan sangat memengaruhi nilai hematokrit karena </w:t>
      </w:r>
      <w:r>
        <w:rPr>
          <w:rFonts w:eastAsia="Calibri"/>
          <w:kern w:val="2"/>
          <w14:ligatures w14:val="standardContextual"/>
        </w:rPr>
        <w:t>berhubungan</w:t>
      </w:r>
      <w:r w:rsidRPr="00F35BF5">
        <w:rPr>
          <w:rFonts w:eastAsia="Calibri"/>
          <w:kern w:val="2"/>
          <w:lang w:val="id-ID"/>
          <w14:ligatures w14:val="standardContextual"/>
        </w:rPr>
        <w:t xml:space="preserve"> langsung dengan jumlah dan volume sel darah merah. Sementara itu, Saragih et al. (2019) melaporkan bahwa penurunan hematokrit selama </w:t>
      </w:r>
      <w:r w:rsidRPr="00F35BF5">
        <w:rPr>
          <w:rFonts w:eastAsia="Calibri"/>
          <w:kern w:val="2"/>
          <w:lang w:val="id-ID"/>
          <w14:ligatures w14:val="standardContextual"/>
        </w:rPr>
        <w:lastRenderedPageBreak/>
        <w:t>penyimpanan dapat terjadi meskipun pada beberapa kondisi tidak selalu signifikan secara statistik. Perbedaan ini dapat dipengaruhi oleh variasi metode pemeriksaan, lama penyimpanan, serta kondisi penyimpanan yang digunakan dalam penelitian.</w:t>
      </w:r>
    </w:p>
    <w:p w:rsidR="001B086E" w:rsidRPr="00F35BF5" w:rsidRDefault="001B086E" w:rsidP="001B086E">
      <w:pPr>
        <w:spacing w:after="160" w:line="480" w:lineRule="auto"/>
        <w:ind w:firstLine="709"/>
        <w:contextualSpacing/>
        <w:jc w:val="both"/>
        <w:rPr>
          <w:rFonts w:eastAsia="Calibri"/>
          <w:kern w:val="2"/>
          <w:lang w:val="id-ID"/>
          <w14:ligatures w14:val="standardContextual"/>
        </w:rPr>
      </w:pPr>
      <w:r w:rsidRPr="00F35BF5">
        <w:rPr>
          <w:rFonts w:eastAsia="Calibri"/>
          <w:kern w:val="2"/>
          <w:lang w:val="id-ID"/>
          <w14:ligatures w14:val="standardContextual"/>
        </w:rPr>
        <w:t>Secara teori, penurunan kadar hematokrit selama penyimpanan berkaitan erat dengan proses storage lesion pada eritrosit. Selama penyimpanan, eritrosit tetap mengalami metabolisme yang menyebabkan penurunan kadar ATP sebagai sumber energi utama. Penurunan ATP mengakibatkan gangguan pada fungsi membran sel, termasuk sistem pompa ion, sehingga terjadi ketidakseimbangan elektrolit seperti keluarnya kalium dari dalam sel dan perubahan permeabilitas membran. Kondisi ini menyebabkan eritrosit menjadi lebih kaku, rapuh, dan rentan mengalami hemolisis, sehingga jumlah sel darah merah yang utuh berkurang. Selain itu, kehilangan lipid membran menyebabkan perubahan morfologi dan volume eritrosit, yang berdampak langsung pada penurunan persentase hematokrit. Proses hemolisis dan perubahan volume sel inilah yang secara bersama-sama menyebabkan penurunan nilai hematokrit selama masa simpan.</w:t>
      </w:r>
    </w:p>
    <w:p w:rsidR="001B086E" w:rsidRPr="00F35BF5" w:rsidRDefault="001B086E" w:rsidP="001B086E">
      <w:pPr>
        <w:spacing w:after="160" w:line="480" w:lineRule="auto"/>
        <w:ind w:firstLine="709"/>
        <w:contextualSpacing/>
        <w:jc w:val="both"/>
        <w:rPr>
          <w:rFonts w:eastAsia="Calibri"/>
          <w:kern w:val="2"/>
          <w:lang w:val="id-ID"/>
          <w14:ligatures w14:val="standardContextual"/>
        </w:rPr>
      </w:pPr>
      <w:r w:rsidRPr="00F35BF5">
        <w:rPr>
          <w:rFonts w:eastAsia="Calibri"/>
          <w:kern w:val="2"/>
          <w:lang w:val="id-ID"/>
          <w14:ligatures w14:val="standardContextual"/>
        </w:rPr>
        <w:t>Menurut peneliti, penurunan kadar hematokrit yang signifikan secara statistik menunjukkan bahwa masa simpan merupakan faktor penting yang memengaruhi kualitas PRC, khususnya terkait jumlah dan integritas eritrosit. Meskipun demikian, nilai hematokrit yang masih berada dalam batas yang dapat diterima menunjukkan bahwa PRC masih layak digunakan dalam transfusi selama periode penyimpanan 7 hari. Oleh karena itu, diperlukan pengelolaan penyimpanan yang baik serta pemantauan kualitas darah secara berkala untuk memastikan keamanan dan efektivitas penggunaan PRC dalam praktik klinis.</w:t>
      </w:r>
    </w:p>
    <w:p w:rsidR="001B086E" w:rsidRPr="00F35BF5" w:rsidRDefault="001B086E" w:rsidP="001B086E">
      <w:pPr>
        <w:spacing w:after="160" w:line="480" w:lineRule="auto"/>
        <w:ind w:firstLine="709"/>
        <w:contextualSpacing/>
        <w:jc w:val="both"/>
        <w:rPr>
          <w:rFonts w:eastAsia="Calibri"/>
          <w:kern w:val="2"/>
          <w:lang w:val="id-ID"/>
          <w14:ligatures w14:val="standardContextual"/>
        </w:rPr>
      </w:pPr>
      <w:r w:rsidRPr="00F35BF5">
        <w:rPr>
          <w:rFonts w:eastAsia="Calibri"/>
          <w:kern w:val="2"/>
          <w:lang w:val="id-ID"/>
          <w14:ligatures w14:val="standardContextual"/>
        </w:rPr>
        <w:lastRenderedPageBreak/>
        <w:t>Selain sampel yang mengalami penurunan, terdapat beberapa sampel yang menunjukkan peningkatan nilai hematokrit setelah penyimpanan selama 7 hari. Peningkatan tersebut dapat terjadi karena hematokrit tidak hanya dipengaruhi oleh jumlah eritrosit, tetapi juga oleh volume eritrosit. Selama penyimpanan dapat terjadi perubahan keseimbangan osmotik dan permeabilitas membran yang menyebabkan masuknya cairan ke dalam eritrosit sehingga volume sel meningkat. Kondisi ini dikenal sebagai cell swelling dan dapat menyebabkan peningkatan nilai hematokrit meskipun jumlah eritrosit tidak mengalami peningkatan (Barshtein et al., 2018). Selain itu, variasi karakteristik eritrosit antar donor dapat menyebabkan respons yang berbeda terhadap proses penyimpanan sehingga perubahan hematokrit yang terjadi pada setiap kantong PRC tidak selalu sama (Yoshida et al., 2019).</w:t>
      </w:r>
    </w:p>
    <w:p w:rsidR="001B086E" w:rsidRPr="00D128E2" w:rsidRDefault="001B086E" w:rsidP="001B086E">
      <w:pPr>
        <w:keepNext/>
        <w:keepLines/>
        <w:numPr>
          <w:ilvl w:val="0"/>
          <w:numId w:val="6"/>
        </w:numPr>
        <w:spacing w:before="160" w:after="80" w:line="480" w:lineRule="auto"/>
        <w:outlineLvl w:val="1"/>
        <w:rPr>
          <w:b/>
          <w:bCs/>
          <w:color w:val="2F5496"/>
          <w:kern w:val="2"/>
          <w:lang w:val="id-ID"/>
          <w14:ligatures w14:val="standardContextual"/>
        </w:rPr>
      </w:pPr>
      <w:bookmarkStart w:id="19" w:name="_Toc202996864"/>
      <w:bookmarkStart w:id="20" w:name="_Toc225698547"/>
      <w:r w:rsidRPr="00D128E2">
        <w:rPr>
          <w:b/>
          <w:bCs/>
          <w:kern w:val="2"/>
          <w:lang w:val="id-ID"/>
          <w14:ligatures w14:val="standardContextual"/>
        </w:rPr>
        <w:t>Keterbatasan Penelitian</w:t>
      </w:r>
      <w:bookmarkEnd w:id="19"/>
      <w:bookmarkEnd w:id="20"/>
    </w:p>
    <w:p w:rsidR="001B086E" w:rsidRPr="0097436A" w:rsidRDefault="001B086E" w:rsidP="001B086E">
      <w:pPr>
        <w:spacing w:line="480" w:lineRule="auto"/>
        <w:ind w:firstLine="360"/>
        <w:jc w:val="both"/>
        <w:rPr>
          <w:rFonts w:eastAsia="Calibri"/>
          <w:kern w:val="2"/>
          <w:lang w:val="id-ID"/>
          <w14:ligatures w14:val="standardContextual"/>
        </w:rPr>
      </w:pPr>
      <w:r>
        <w:t>Dalam studi ini terdapat beberapa keterbatasan yang perlu menjadi pertimbangan saat menafsirkan hasil yang diperoleh. Salah satu kendala terletak pada durasi penyimpanan dan jumlah sampel yang digunakan. Pengamatan hanya dilakukan selama 7 hari, sehingga belum mampu menunjukkan perubahan kadar hemoglobin dan hematokrit pada periode penyimpanan yang lebih lama hingga batas masa simpan PRC. Di samping itu, keterbatasan jumlah sampel dapat berpengaruh terhadap kekuatan analisis statistik dan membatasi penerapan hasil studi pada populasi yang lebih besar</w:t>
      </w:r>
      <w:r w:rsidRPr="0097436A">
        <w:rPr>
          <w:rFonts w:eastAsia="Calibri"/>
          <w:kern w:val="2"/>
          <w:lang w:val="id-ID"/>
          <w14:ligatures w14:val="standardContextual"/>
        </w:rPr>
        <w:t>.</w:t>
      </w:r>
      <w:r>
        <w:rPr>
          <w:rFonts w:eastAsia="Calibri"/>
          <w:kern w:val="2"/>
          <w:lang w:val="id-ID"/>
          <w14:ligatures w14:val="standardContextual"/>
        </w:rPr>
        <w:t xml:space="preserve"> </w:t>
      </w:r>
      <w:r w:rsidRPr="0097436A">
        <w:rPr>
          <w:rFonts w:eastAsia="Calibri"/>
          <w:kern w:val="2"/>
          <w:lang w:val="id-ID"/>
          <w14:ligatures w14:val="standardContextual"/>
        </w:rPr>
        <w:t xml:space="preserve">Keterbatasan kedua berkaitan dengan metode dan alat pemeriksaan yang digunakan. Penelitian ini hanya menggunakan metode pemeriksaan Point of Care Testing (POCT) tanpa melakukan perbandingan dengan </w:t>
      </w:r>
      <w:r w:rsidRPr="0097436A">
        <w:rPr>
          <w:rFonts w:eastAsia="Calibri"/>
          <w:kern w:val="2"/>
          <w:lang w:val="id-ID"/>
          <w14:ligatures w14:val="standardContextual"/>
        </w:rPr>
        <w:lastRenderedPageBreak/>
        <w:t>metode standar laboratorium seperti hematology analyzer. Penggunaan metode POCT memiliki keterbatasan dalam hal akurasi dan presisi dibandingkan metode pemeriksaan laboratorium konvensional, terutama pada sampel dengan kondisi tertentu. Tidak adanya metode pembanding juga menyebabkan validitas eksternal penelitian masih terbatas.</w:t>
      </w:r>
    </w:p>
    <w:p w:rsidR="001B086E" w:rsidRPr="0097436A" w:rsidRDefault="001B086E" w:rsidP="001B086E">
      <w:pPr>
        <w:spacing w:line="480" w:lineRule="auto"/>
        <w:ind w:firstLine="360"/>
        <w:jc w:val="both"/>
        <w:rPr>
          <w:rFonts w:eastAsia="Calibri"/>
          <w:kern w:val="2"/>
          <w:lang w:val="id-ID"/>
          <w14:ligatures w14:val="standardContextual"/>
        </w:rPr>
      </w:pPr>
      <w:r w:rsidRPr="0097436A">
        <w:rPr>
          <w:rFonts w:eastAsia="Calibri"/>
          <w:kern w:val="2"/>
          <w:lang w:val="id-ID"/>
          <w14:ligatures w14:val="standardContextual"/>
        </w:rPr>
        <w:t xml:space="preserve">Keterbatasan ketiga berkaitan dengan faktor-faktor yang </w:t>
      </w:r>
      <w:r>
        <w:rPr>
          <w:rFonts w:eastAsia="Calibri"/>
          <w:kern w:val="2"/>
          <w14:ligatures w14:val="standardContextual"/>
        </w:rPr>
        <w:t>mampu mempengaruhi</w:t>
      </w:r>
      <w:r w:rsidRPr="0097436A">
        <w:rPr>
          <w:rFonts w:eastAsia="Calibri"/>
          <w:kern w:val="2"/>
          <w:lang w:val="id-ID"/>
          <w14:ligatures w14:val="standardContextual"/>
        </w:rPr>
        <w:t xml:space="preserve"> hasil pemeriksaan kadar hemoglobin dan hematokrit. Penelitian ini belum menganalisis secara mendalam faktor-faktor seperti variasi kondisi donor, jenis antikoagulan yang digunakan, kualitas awal darah, serta kondisi penyimpanan selain suhu. Selain itu, proses pengambilan dan penanganan sampel sebelum pemeriksaan juga berpotensi memengaruhi hasil pemeriksaan karena dapat menyebabkan perubahan pada stabilitas eritrosit.</w:t>
      </w:r>
    </w:p>
    <w:p w:rsidR="001B086E" w:rsidRDefault="001B086E" w:rsidP="001B086E">
      <w:pPr>
        <w:spacing w:line="480" w:lineRule="auto"/>
        <w:ind w:firstLine="360"/>
        <w:jc w:val="both"/>
        <w:rPr>
          <w:rFonts w:eastAsia="Calibri"/>
          <w:kern w:val="2"/>
          <w:lang w:val="id-ID"/>
          <w14:ligatures w14:val="standardContextual"/>
        </w:rPr>
      </w:pPr>
      <w:r>
        <w:t>Dengan mempertimbangkan berbagai keterbatasan tersebut, temuan studi ini perlu dipahami secara cermat. Walaupun demikian, hasil yang diperoleh masih dapat menjadi acuan bagi studi berikutnya, khususnya dengan rancangan yang lebih menyeluruh, jumlah sampel yang lebih banyak, durasi penyimpanan yang diperpanjang, serta penerapan metode pemeriksaan lain sebagai pembanding guna memperoleh hasil yang lebih valid dan kuat</w:t>
      </w:r>
      <w:r w:rsidRPr="0097436A">
        <w:rPr>
          <w:rFonts w:eastAsia="Calibri"/>
          <w:kern w:val="2"/>
          <w:lang w:val="id-ID"/>
          <w14:ligatures w14:val="standardContextual"/>
        </w:rPr>
        <w:t>.</w:t>
      </w:r>
    </w:p>
    <w:p w:rsidR="005F1CC5" w:rsidRDefault="005F1CC5"/>
    <w:sectPr w:rsidR="005F1CC5" w:rsidSect="001B086E">
      <w:pgSz w:w="11900" w:h="16840"/>
      <w:pgMar w:top="2268" w:right="1701" w:bottom="1701"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adea">
    <w:altName w:val="Calibri"/>
    <w:panose1 w:val="020B0604020202020204"/>
    <w:charset w:val="00"/>
    <w:family w:val="auto"/>
    <w:pitch w:val="variable"/>
  </w:font>
  <w:font w:name="Carlito">
    <w:altName w:val="Calibri"/>
    <w:panose1 w:val="020B0604020202020204"/>
    <w:charset w:val="00"/>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28E"/>
    <w:multiLevelType w:val="multilevel"/>
    <w:tmpl w:val="29CE3E6A"/>
    <w:lvl w:ilvl="0">
      <w:start w:val="1"/>
      <w:numFmt w:val="decimal"/>
      <w:lvlText w:val="%1"/>
      <w:lvlJc w:val="left"/>
      <w:pPr>
        <w:ind w:left="360" w:hanging="360"/>
      </w:pPr>
      <w:rPr>
        <w:rFonts w:hint="default"/>
      </w:rPr>
    </w:lvl>
    <w:lvl w:ilvl="1">
      <w:start w:val="1"/>
      <w:numFmt w:val="decimal"/>
      <w:pStyle w:val="SubBAB"/>
      <w:lvlText w:val="%1.%2"/>
      <w:lvlJc w:val="left"/>
      <w:pPr>
        <w:ind w:left="360" w:hanging="360"/>
      </w:pPr>
      <w:rPr>
        <w:rFonts w:hint="default"/>
      </w:rPr>
    </w:lvl>
    <w:lvl w:ilvl="2">
      <w:start w:val="1"/>
      <w:numFmt w:val="decimal"/>
      <w:pStyle w:val="3SubBAB"/>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8232C0"/>
    <w:multiLevelType w:val="hybridMultilevel"/>
    <w:tmpl w:val="CB74C224"/>
    <w:lvl w:ilvl="0" w:tplc="262A7CEC">
      <w:start w:val="1"/>
      <w:numFmt w:val="decimal"/>
      <w:lvlText w:val="4.2.%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CC256C0"/>
    <w:multiLevelType w:val="hybridMultilevel"/>
    <w:tmpl w:val="AFC0F448"/>
    <w:lvl w:ilvl="0" w:tplc="04090019">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3" w15:restartNumberingAfterBreak="0">
    <w:nsid w:val="327566D4"/>
    <w:multiLevelType w:val="hybridMultilevel"/>
    <w:tmpl w:val="5C520B48"/>
    <w:lvl w:ilvl="0" w:tplc="4252A478">
      <w:start w:val="1"/>
      <w:numFmt w:val="decimal"/>
      <w:lvlText w:val="4.%1"/>
      <w:lvlJc w:val="left"/>
      <w:pPr>
        <w:ind w:left="360" w:hanging="360"/>
      </w:pPr>
      <w:rPr>
        <w:rFonts w:hint="default"/>
        <w:color w:val="auto"/>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4" w15:restartNumberingAfterBreak="0">
    <w:nsid w:val="3D4C58F5"/>
    <w:multiLevelType w:val="hybridMultilevel"/>
    <w:tmpl w:val="AFC0F448"/>
    <w:lvl w:ilvl="0" w:tplc="FFFFFFFF">
      <w:start w:val="1"/>
      <w:numFmt w:val="lowerLetter"/>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 w15:restartNumberingAfterBreak="0">
    <w:nsid w:val="44A4106F"/>
    <w:multiLevelType w:val="hybridMultilevel"/>
    <w:tmpl w:val="2C3E8BD4"/>
    <w:lvl w:ilvl="0" w:tplc="9B081530">
      <w:start w:val="1"/>
      <w:numFmt w:val="decimal"/>
      <w:lvlText w:val="4.1.%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16cid:durableId="1031608247">
    <w:abstractNumId w:val="0"/>
  </w:num>
  <w:num w:numId="2" w16cid:durableId="1794473779">
    <w:abstractNumId w:val="0"/>
  </w:num>
  <w:num w:numId="3" w16cid:durableId="260644565">
    <w:abstractNumId w:val="0"/>
  </w:num>
  <w:num w:numId="4" w16cid:durableId="197353501">
    <w:abstractNumId w:val="0"/>
  </w:num>
  <w:num w:numId="5" w16cid:durableId="1666320123">
    <w:abstractNumId w:val="5"/>
  </w:num>
  <w:num w:numId="6" w16cid:durableId="1066302954">
    <w:abstractNumId w:val="3"/>
  </w:num>
  <w:num w:numId="7" w16cid:durableId="1915237768">
    <w:abstractNumId w:val="1"/>
  </w:num>
  <w:num w:numId="8" w16cid:durableId="279994311">
    <w:abstractNumId w:val="2"/>
  </w:num>
  <w:num w:numId="9" w16cid:durableId="9533702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86E"/>
    <w:rsid w:val="000704F4"/>
    <w:rsid w:val="00127859"/>
    <w:rsid w:val="001B086E"/>
    <w:rsid w:val="00301581"/>
    <w:rsid w:val="005F1CC5"/>
    <w:rsid w:val="00666057"/>
    <w:rsid w:val="00727E0D"/>
    <w:rsid w:val="00743E71"/>
    <w:rsid w:val="008A3162"/>
    <w:rsid w:val="00A400B1"/>
    <w:rsid w:val="00B01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E31D0EE-58E5-104C-A297-C6516CC6C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240" w:line="480" w:lineRule="auto"/>
        <w:ind w:firstLine="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086E"/>
    <w:pPr>
      <w:spacing w:after="0" w:line="240" w:lineRule="auto"/>
      <w:ind w:firstLine="0"/>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0704F4"/>
    <w:pPr>
      <w:spacing w:before="600" w:line="360" w:lineRule="auto"/>
      <w:outlineLvl w:val="0"/>
    </w:pPr>
    <w:rPr>
      <w:rFonts w:asciiTheme="majorHAnsi" w:eastAsiaTheme="majorEastAsia" w:hAnsiTheme="majorHAnsi" w:cstheme="majorBidi"/>
      <w:b/>
      <w:bCs/>
      <w:i/>
      <w:iCs/>
      <w:sz w:val="32"/>
      <w:szCs w:val="32"/>
    </w:rPr>
  </w:style>
  <w:style w:type="paragraph" w:styleId="Heading2">
    <w:name w:val="heading 2"/>
    <w:basedOn w:val="Normal"/>
    <w:next w:val="Normal"/>
    <w:link w:val="Heading2Char"/>
    <w:uiPriority w:val="9"/>
    <w:unhideWhenUsed/>
    <w:qFormat/>
    <w:rsid w:val="000704F4"/>
    <w:pPr>
      <w:spacing w:before="320" w:line="360" w:lineRule="auto"/>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0704F4"/>
    <w:pPr>
      <w:spacing w:before="320" w:line="360" w:lineRule="auto"/>
      <w:outlineLvl w:val="2"/>
    </w:pPr>
    <w:rPr>
      <w:rFonts w:asciiTheme="majorHAnsi" w:eastAsiaTheme="majorEastAsia" w:hAnsiTheme="majorHAnsi" w:cstheme="majorBidi"/>
      <w:b/>
      <w:bCs/>
      <w:i/>
      <w:iCs/>
      <w:sz w:val="26"/>
      <w:szCs w:val="26"/>
    </w:rPr>
  </w:style>
  <w:style w:type="paragraph" w:styleId="Heading4">
    <w:name w:val="heading 4"/>
    <w:basedOn w:val="Normal"/>
    <w:next w:val="Normal"/>
    <w:link w:val="Heading4Char"/>
    <w:uiPriority w:val="9"/>
    <w:unhideWhenUsed/>
    <w:qFormat/>
    <w:rsid w:val="000704F4"/>
    <w:pPr>
      <w:spacing w:before="280" w:line="360" w:lineRule="auto"/>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0704F4"/>
    <w:pPr>
      <w:spacing w:before="280" w:line="360" w:lineRule="auto"/>
      <w:outlineLvl w:val="4"/>
    </w:pPr>
    <w:rPr>
      <w:rFonts w:asciiTheme="majorHAnsi" w:eastAsiaTheme="majorEastAsia" w:hAnsiTheme="majorHAnsi" w:cstheme="majorBidi"/>
      <w:b/>
      <w:bCs/>
      <w:i/>
      <w:iCs/>
    </w:rPr>
  </w:style>
  <w:style w:type="paragraph" w:styleId="Heading6">
    <w:name w:val="heading 6"/>
    <w:basedOn w:val="Normal"/>
    <w:next w:val="Normal"/>
    <w:link w:val="Heading6Char"/>
    <w:uiPriority w:val="9"/>
    <w:unhideWhenUsed/>
    <w:qFormat/>
    <w:rsid w:val="000704F4"/>
    <w:pPr>
      <w:spacing w:before="280" w:after="80" w:line="360" w:lineRule="auto"/>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0704F4"/>
    <w:pPr>
      <w:spacing w:before="280" w:line="360" w:lineRule="auto"/>
      <w:outlineLvl w:val="6"/>
    </w:pPr>
    <w:rPr>
      <w:rFonts w:asciiTheme="majorHAnsi" w:eastAsiaTheme="majorEastAsia" w:hAnsiTheme="majorHAnsi" w:cstheme="majorBidi"/>
      <w:b/>
      <w:bCs/>
      <w:i/>
      <w:iCs/>
      <w:sz w:val="20"/>
      <w:szCs w:val="20"/>
    </w:rPr>
  </w:style>
  <w:style w:type="paragraph" w:styleId="Heading8">
    <w:name w:val="heading 8"/>
    <w:basedOn w:val="Normal"/>
    <w:next w:val="Normal"/>
    <w:link w:val="Heading8Char"/>
    <w:uiPriority w:val="9"/>
    <w:semiHidden/>
    <w:unhideWhenUsed/>
    <w:qFormat/>
    <w:rsid w:val="000704F4"/>
    <w:pPr>
      <w:spacing w:before="280" w:line="360" w:lineRule="auto"/>
      <w:outlineLvl w:val="7"/>
    </w:pPr>
    <w:rPr>
      <w:rFonts w:asciiTheme="majorHAnsi" w:eastAsiaTheme="majorEastAsia" w:hAnsiTheme="majorHAnsi" w:cstheme="majorBidi"/>
      <w:b/>
      <w:bCs/>
      <w:i/>
      <w:iCs/>
      <w:sz w:val="18"/>
      <w:szCs w:val="18"/>
    </w:rPr>
  </w:style>
  <w:style w:type="paragraph" w:styleId="Heading9">
    <w:name w:val="heading 9"/>
    <w:basedOn w:val="Normal"/>
    <w:next w:val="Normal"/>
    <w:link w:val="Heading9Char"/>
    <w:uiPriority w:val="9"/>
    <w:semiHidden/>
    <w:unhideWhenUsed/>
    <w:qFormat/>
    <w:rsid w:val="000704F4"/>
    <w:pPr>
      <w:spacing w:before="280" w:line="360" w:lineRule="auto"/>
      <w:outlineLvl w:val="8"/>
    </w:pPr>
    <w:rPr>
      <w:rFonts w:asciiTheme="majorHAnsi" w:eastAsiaTheme="majorEastAsia" w:hAnsiTheme="majorHAnsi" w:cstheme="majorBidi"/>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siBAB">
    <w:name w:val="Isi BAB"/>
    <w:basedOn w:val="ListParagraph"/>
    <w:rsid w:val="000704F4"/>
    <w:pPr>
      <w:spacing w:before="360"/>
      <w:ind w:left="0" w:firstLine="547"/>
      <w:jc w:val="both"/>
    </w:pPr>
    <w:rPr>
      <w:noProof/>
    </w:rPr>
  </w:style>
  <w:style w:type="paragraph" w:styleId="ListParagraph">
    <w:name w:val="List Paragraph"/>
    <w:basedOn w:val="Normal"/>
    <w:uiPriority w:val="34"/>
    <w:qFormat/>
    <w:rsid w:val="000704F4"/>
    <w:pPr>
      <w:ind w:left="720"/>
      <w:contextualSpacing/>
    </w:pPr>
  </w:style>
  <w:style w:type="paragraph" w:customStyle="1" w:styleId="TableParagraph">
    <w:name w:val="Table Paragraph"/>
    <w:basedOn w:val="Normal"/>
    <w:uiPriority w:val="1"/>
    <w:qFormat/>
    <w:rsid w:val="000704F4"/>
    <w:pPr>
      <w:widowControl w:val="0"/>
      <w:autoSpaceDE w:val="0"/>
      <w:autoSpaceDN w:val="0"/>
      <w:ind w:left="107"/>
    </w:pPr>
    <w:rPr>
      <w:rFonts w:ascii="Caladea" w:eastAsia="Caladea" w:hAnsi="Caladea" w:cs="Caladea"/>
      <w:lang w:val="id"/>
    </w:rPr>
  </w:style>
  <w:style w:type="character" w:customStyle="1" w:styleId="Heading1Char">
    <w:name w:val="Heading 1 Char"/>
    <w:basedOn w:val="DefaultParagraphFont"/>
    <w:link w:val="Heading1"/>
    <w:uiPriority w:val="9"/>
    <w:rsid w:val="000704F4"/>
    <w:rPr>
      <w:rFonts w:asciiTheme="majorHAnsi" w:eastAsiaTheme="majorEastAsia" w:hAnsiTheme="majorHAnsi" w:cstheme="majorBidi"/>
      <w:b/>
      <w:bCs/>
      <w:i/>
      <w:iCs/>
      <w:sz w:val="32"/>
      <w:szCs w:val="32"/>
    </w:rPr>
  </w:style>
  <w:style w:type="paragraph" w:styleId="BodyText">
    <w:name w:val="Body Text"/>
    <w:basedOn w:val="Normal"/>
    <w:link w:val="BodyTextChar"/>
    <w:uiPriority w:val="1"/>
    <w:qFormat/>
    <w:rsid w:val="000704F4"/>
    <w:pPr>
      <w:widowControl w:val="0"/>
      <w:autoSpaceDE w:val="0"/>
      <w:autoSpaceDN w:val="0"/>
    </w:pPr>
    <w:rPr>
      <w:rFonts w:ascii="Carlito" w:eastAsia="Carlito" w:hAnsi="Carlito" w:cs="Carlito"/>
      <w:lang w:val="id"/>
    </w:rPr>
  </w:style>
  <w:style w:type="character" w:customStyle="1" w:styleId="BodyTextChar">
    <w:name w:val="Body Text Char"/>
    <w:basedOn w:val="DefaultParagraphFont"/>
    <w:link w:val="BodyText"/>
    <w:uiPriority w:val="1"/>
    <w:rsid w:val="000704F4"/>
    <w:rPr>
      <w:rFonts w:ascii="Carlito" w:eastAsia="Carlito" w:hAnsi="Carlito" w:cs="Carlito"/>
      <w:sz w:val="24"/>
      <w:szCs w:val="24"/>
      <w:lang w:val="id"/>
    </w:rPr>
  </w:style>
  <w:style w:type="paragraph" w:styleId="TOCHeading">
    <w:name w:val="TOC Heading"/>
    <w:basedOn w:val="Heading1"/>
    <w:next w:val="Normal"/>
    <w:uiPriority w:val="39"/>
    <w:unhideWhenUsed/>
    <w:qFormat/>
    <w:rsid w:val="000704F4"/>
    <w:pPr>
      <w:outlineLvl w:val="9"/>
    </w:pPr>
  </w:style>
  <w:style w:type="character" w:customStyle="1" w:styleId="Heading2Char">
    <w:name w:val="Heading 2 Char"/>
    <w:basedOn w:val="DefaultParagraphFont"/>
    <w:link w:val="Heading2"/>
    <w:uiPriority w:val="9"/>
    <w:rsid w:val="000704F4"/>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0704F4"/>
    <w:rPr>
      <w:rFonts w:asciiTheme="majorHAnsi" w:eastAsiaTheme="majorEastAsia" w:hAnsiTheme="majorHAnsi" w:cstheme="majorBidi"/>
      <w:b/>
      <w:bCs/>
      <w:i/>
      <w:iCs/>
      <w:sz w:val="26"/>
      <w:szCs w:val="26"/>
    </w:rPr>
  </w:style>
  <w:style w:type="character" w:customStyle="1" w:styleId="Heading4Char">
    <w:name w:val="Heading 4 Char"/>
    <w:basedOn w:val="DefaultParagraphFont"/>
    <w:link w:val="Heading4"/>
    <w:uiPriority w:val="9"/>
    <w:rsid w:val="000704F4"/>
    <w:rPr>
      <w:rFonts w:asciiTheme="majorHAnsi" w:eastAsiaTheme="majorEastAsia" w:hAnsiTheme="majorHAnsi" w:cstheme="majorBidi"/>
      <w:b/>
      <w:bCs/>
      <w:i/>
      <w:iCs/>
      <w:sz w:val="24"/>
      <w:szCs w:val="24"/>
    </w:rPr>
  </w:style>
  <w:style w:type="character" w:customStyle="1" w:styleId="Heading5Char">
    <w:name w:val="Heading 5 Char"/>
    <w:basedOn w:val="DefaultParagraphFont"/>
    <w:link w:val="Heading5"/>
    <w:uiPriority w:val="9"/>
    <w:rsid w:val="000704F4"/>
    <w:rPr>
      <w:rFonts w:asciiTheme="majorHAnsi" w:eastAsiaTheme="majorEastAsia" w:hAnsiTheme="majorHAnsi" w:cstheme="majorBidi"/>
      <w:b/>
      <w:bCs/>
      <w:i/>
      <w:iCs/>
    </w:rPr>
  </w:style>
  <w:style w:type="character" w:customStyle="1" w:styleId="Heading6Char">
    <w:name w:val="Heading 6 Char"/>
    <w:basedOn w:val="DefaultParagraphFont"/>
    <w:link w:val="Heading6"/>
    <w:uiPriority w:val="9"/>
    <w:rsid w:val="000704F4"/>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0704F4"/>
    <w:rPr>
      <w:rFonts w:asciiTheme="majorHAnsi" w:eastAsiaTheme="majorEastAsia" w:hAnsiTheme="majorHAnsi" w:cstheme="majorBidi"/>
      <w:b/>
      <w:bCs/>
      <w:i/>
      <w:iCs/>
      <w:sz w:val="20"/>
      <w:szCs w:val="20"/>
    </w:rPr>
  </w:style>
  <w:style w:type="character" w:customStyle="1" w:styleId="Heading8Char">
    <w:name w:val="Heading 8 Char"/>
    <w:basedOn w:val="DefaultParagraphFont"/>
    <w:link w:val="Heading8"/>
    <w:uiPriority w:val="9"/>
    <w:semiHidden/>
    <w:rsid w:val="000704F4"/>
    <w:rPr>
      <w:rFonts w:asciiTheme="majorHAnsi" w:eastAsiaTheme="majorEastAsia" w:hAnsiTheme="majorHAnsi" w:cstheme="majorBidi"/>
      <w:b/>
      <w:bCs/>
      <w:i/>
      <w:iCs/>
      <w:sz w:val="18"/>
      <w:szCs w:val="18"/>
    </w:rPr>
  </w:style>
  <w:style w:type="character" w:customStyle="1" w:styleId="Heading9Char">
    <w:name w:val="Heading 9 Char"/>
    <w:basedOn w:val="DefaultParagraphFont"/>
    <w:link w:val="Heading9"/>
    <w:uiPriority w:val="9"/>
    <w:semiHidden/>
    <w:rsid w:val="000704F4"/>
    <w:rPr>
      <w:rFonts w:asciiTheme="majorHAnsi" w:eastAsiaTheme="majorEastAsia" w:hAnsiTheme="majorHAnsi" w:cstheme="majorBidi"/>
      <w:i/>
      <w:iCs/>
      <w:sz w:val="18"/>
      <w:szCs w:val="18"/>
    </w:rPr>
  </w:style>
  <w:style w:type="paragraph" w:styleId="Caption">
    <w:name w:val="caption"/>
    <w:basedOn w:val="Normal"/>
    <w:next w:val="Normal"/>
    <w:uiPriority w:val="35"/>
    <w:unhideWhenUsed/>
    <w:qFormat/>
    <w:rsid w:val="000704F4"/>
    <w:rPr>
      <w:b/>
      <w:bCs/>
      <w:sz w:val="18"/>
      <w:szCs w:val="18"/>
    </w:rPr>
  </w:style>
  <w:style w:type="paragraph" w:styleId="Title">
    <w:name w:val="Title"/>
    <w:basedOn w:val="Normal"/>
    <w:next w:val="Normal"/>
    <w:link w:val="TitleChar"/>
    <w:uiPriority w:val="10"/>
    <w:qFormat/>
    <w:rsid w:val="000704F4"/>
    <w:rPr>
      <w:rFonts w:asciiTheme="majorHAnsi" w:eastAsiaTheme="majorEastAsia" w:hAnsiTheme="majorHAnsi" w:cstheme="majorBidi"/>
      <w:b/>
      <w:bCs/>
      <w:i/>
      <w:iCs/>
      <w:spacing w:val="10"/>
      <w:sz w:val="60"/>
      <w:szCs w:val="60"/>
    </w:rPr>
  </w:style>
  <w:style w:type="character" w:customStyle="1" w:styleId="TitleChar">
    <w:name w:val="Title Char"/>
    <w:basedOn w:val="DefaultParagraphFont"/>
    <w:link w:val="Title"/>
    <w:uiPriority w:val="10"/>
    <w:rsid w:val="000704F4"/>
    <w:rPr>
      <w:rFonts w:asciiTheme="majorHAnsi" w:eastAsiaTheme="majorEastAsia" w:hAnsiTheme="majorHAnsi" w:cstheme="majorBidi"/>
      <w:b/>
      <w:bCs/>
      <w:i/>
      <w:iCs/>
      <w:spacing w:val="10"/>
      <w:sz w:val="60"/>
      <w:szCs w:val="60"/>
    </w:rPr>
  </w:style>
  <w:style w:type="paragraph" w:styleId="Subtitle">
    <w:name w:val="Subtitle"/>
    <w:basedOn w:val="Normal"/>
    <w:next w:val="Normal"/>
    <w:link w:val="SubtitleChar"/>
    <w:uiPriority w:val="11"/>
    <w:qFormat/>
    <w:rsid w:val="000704F4"/>
    <w:pPr>
      <w:spacing w:after="320"/>
      <w:jc w:val="right"/>
    </w:pPr>
    <w:rPr>
      <w:i/>
      <w:iCs/>
      <w:color w:val="808080" w:themeColor="text1" w:themeTint="7F"/>
      <w:spacing w:val="10"/>
    </w:rPr>
  </w:style>
  <w:style w:type="character" w:customStyle="1" w:styleId="SubtitleChar">
    <w:name w:val="Subtitle Char"/>
    <w:basedOn w:val="DefaultParagraphFont"/>
    <w:link w:val="Subtitle"/>
    <w:uiPriority w:val="11"/>
    <w:rsid w:val="000704F4"/>
    <w:rPr>
      <w:i/>
      <w:iCs/>
      <w:color w:val="808080" w:themeColor="text1" w:themeTint="7F"/>
      <w:spacing w:val="10"/>
      <w:sz w:val="24"/>
      <w:szCs w:val="24"/>
    </w:rPr>
  </w:style>
  <w:style w:type="character" w:styleId="Strong">
    <w:name w:val="Strong"/>
    <w:basedOn w:val="DefaultParagraphFont"/>
    <w:uiPriority w:val="22"/>
    <w:qFormat/>
    <w:rsid w:val="000704F4"/>
    <w:rPr>
      <w:b/>
      <w:bCs/>
      <w:spacing w:val="0"/>
    </w:rPr>
  </w:style>
  <w:style w:type="character" w:styleId="Emphasis">
    <w:name w:val="Emphasis"/>
    <w:uiPriority w:val="20"/>
    <w:qFormat/>
    <w:rsid w:val="000704F4"/>
    <w:rPr>
      <w:b/>
      <w:bCs/>
      <w:i/>
      <w:iCs/>
      <w:color w:val="auto"/>
    </w:rPr>
  </w:style>
  <w:style w:type="paragraph" w:styleId="NoSpacing">
    <w:name w:val="No Spacing"/>
    <w:basedOn w:val="Normal"/>
    <w:uiPriority w:val="1"/>
    <w:qFormat/>
    <w:rsid w:val="000704F4"/>
  </w:style>
  <w:style w:type="paragraph" w:styleId="Quote">
    <w:name w:val="Quote"/>
    <w:basedOn w:val="Normal"/>
    <w:next w:val="Normal"/>
    <w:link w:val="QuoteChar"/>
    <w:uiPriority w:val="29"/>
    <w:qFormat/>
    <w:rsid w:val="000704F4"/>
    <w:rPr>
      <w:color w:val="5A5A5A" w:themeColor="text1" w:themeTint="A5"/>
    </w:rPr>
  </w:style>
  <w:style w:type="character" w:customStyle="1" w:styleId="QuoteChar">
    <w:name w:val="Quote Char"/>
    <w:basedOn w:val="DefaultParagraphFont"/>
    <w:link w:val="Quote"/>
    <w:uiPriority w:val="29"/>
    <w:rsid w:val="000704F4"/>
    <w:rPr>
      <w:color w:val="5A5A5A" w:themeColor="text1" w:themeTint="A5"/>
    </w:rPr>
  </w:style>
  <w:style w:type="paragraph" w:styleId="IntenseQuote">
    <w:name w:val="Intense Quote"/>
    <w:basedOn w:val="Normal"/>
    <w:next w:val="Normal"/>
    <w:link w:val="IntenseQuoteChar"/>
    <w:uiPriority w:val="30"/>
    <w:qFormat/>
    <w:rsid w:val="000704F4"/>
    <w:pPr>
      <w:spacing w:before="320" w:after="480"/>
      <w:ind w:left="720" w:right="720"/>
      <w:jc w:val="center"/>
    </w:pPr>
    <w:rPr>
      <w:rFonts w:asciiTheme="majorHAnsi" w:eastAsiaTheme="majorEastAsia" w:hAnsiTheme="majorHAnsi" w:cstheme="majorBidi"/>
      <w:i/>
      <w:iCs/>
      <w:sz w:val="20"/>
      <w:szCs w:val="20"/>
    </w:rPr>
  </w:style>
  <w:style w:type="character" w:customStyle="1" w:styleId="IntenseQuoteChar">
    <w:name w:val="Intense Quote Char"/>
    <w:basedOn w:val="DefaultParagraphFont"/>
    <w:link w:val="IntenseQuote"/>
    <w:uiPriority w:val="30"/>
    <w:rsid w:val="000704F4"/>
    <w:rPr>
      <w:rFonts w:asciiTheme="majorHAnsi" w:eastAsiaTheme="majorEastAsia" w:hAnsiTheme="majorHAnsi" w:cstheme="majorBidi"/>
      <w:i/>
      <w:iCs/>
      <w:sz w:val="20"/>
      <w:szCs w:val="20"/>
    </w:rPr>
  </w:style>
  <w:style w:type="character" w:styleId="SubtleEmphasis">
    <w:name w:val="Subtle Emphasis"/>
    <w:uiPriority w:val="19"/>
    <w:qFormat/>
    <w:rsid w:val="000704F4"/>
    <w:rPr>
      <w:i/>
      <w:iCs/>
      <w:color w:val="5A5A5A" w:themeColor="text1" w:themeTint="A5"/>
    </w:rPr>
  </w:style>
  <w:style w:type="character" w:styleId="IntenseEmphasis">
    <w:name w:val="Intense Emphasis"/>
    <w:uiPriority w:val="21"/>
    <w:qFormat/>
    <w:rsid w:val="000704F4"/>
    <w:rPr>
      <w:b/>
      <w:bCs/>
      <w:i/>
      <w:iCs/>
      <w:color w:val="auto"/>
      <w:u w:val="single"/>
    </w:rPr>
  </w:style>
  <w:style w:type="character" w:styleId="SubtleReference">
    <w:name w:val="Subtle Reference"/>
    <w:uiPriority w:val="31"/>
    <w:qFormat/>
    <w:rsid w:val="000704F4"/>
    <w:rPr>
      <w:smallCaps/>
    </w:rPr>
  </w:style>
  <w:style w:type="character" w:styleId="IntenseReference">
    <w:name w:val="Intense Reference"/>
    <w:uiPriority w:val="32"/>
    <w:qFormat/>
    <w:rsid w:val="000704F4"/>
    <w:rPr>
      <w:b/>
      <w:bCs/>
      <w:smallCaps/>
      <w:color w:val="auto"/>
    </w:rPr>
  </w:style>
  <w:style w:type="character" w:styleId="BookTitle">
    <w:name w:val="Book Title"/>
    <w:uiPriority w:val="33"/>
    <w:qFormat/>
    <w:rsid w:val="000704F4"/>
    <w:rPr>
      <w:rFonts w:asciiTheme="majorHAnsi" w:eastAsiaTheme="majorEastAsia" w:hAnsiTheme="majorHAnsi" w:cstheme="majorBidi"/>
      <w:b/>
      <w:bCs/>
      <w:smallCaps/>
      <w:color w:val="auto"/>
      <w:u w:val="single"/>
    </w:rPr>
  </w:style>
  <w:style w:type="paragraph" w:customStyle="1" w:styleId="SubBAB">
    <w:name w:val="Sub BAB"/>
    <w:basedOn w:val="Heading2"/>
    <w:next w:val="Heading2"/>
    <w:autoRedefine/>
    <w:qFormat/>
    <w:rsid w:val="00743E71"/>
    <w:pPr>
      <w:keepNext/>
      <w:keepLines/>
      <w:numPr>
        <w:ilvl w:val="1"/>
        <w:numId w:val="4"/>
      </w:numPr>
      <w:spacing w:before="40" w:line="480" w:lineRule="auto"/>
    </w:pPr>
    <w:rPr>
      <w:rFonts w:ascii="Times New Roman" w:hAnsi="Times New Roman" w:cs="Times New Roman"/>
      <w:bCs w:val="0"/>
      <w:i w:val="0"/>
      <w:iCs w:val="0"/>
      <w:color w:val="000000" w:themeColor="text1"/>
      <w:sz w:val="24"/>
      <w:szCs w:val="24"/>
      <w:lang w:val="en-US"/>
    </w:rPr>
  </w:style>
  <w:style w:type="paragraph" w:customStyle="1" w:styleId="3SubBAB">
    <w:name w:val="3 Sub BAB"/>
    <w:basedOn w:val="Heading3"/>
    <w:next w:val="Heading3"/>
    <w:autoRedefine/>
    <w:qFormat/>
    <w:rsid w:val="00743E71"/>
    <w:pPr>
      <w:keepNext/>
      <w:keepLines/>
      <w:numPr>
        <w:ilvl w:val="2"/>
        <w:numId w:val="4"/>
      </w:numPr>
      <w:spacing w:before="0" w:line="480" w:lineRule="auto"/>
      <w:jc w:val="both"/>
    </w:pPr>
    <w:rPr>
      <w:rFonts w:ascii="Times New Roman" w:hAnsi="Times New Roman" w:cs="Times New Roman"/>
      <w:bCs w:val="0"/>
      <w:i w:val="0"/>
      <w:iCs w:val="0"/>
      <w:sz w:val="24"/>
      <w:szCs w:val="24"/>
      <w:lang w:val="en-US"/>
    </w:rPr>
  </w:style>
  <w:style w:type="table" w:customStyle="1" w:styleId="TableGrid2">
    <w:name w:val="Table Grid2"/>
    <w:basedOn w:val="TableNormal"/>
    <w:next w:val="TableGrid"/>
    <w:uiPriority w:val="39"/>
    <w:rsid w:val="001B086E"/>
    <w:pPr>
      <w:spacing w:after="0" w:line="240" w:lineRule="auto"/>
      <w:ind w:firstLine="0"/>
    </w:pPr>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1B086E"/>
    <w:pPr>
      <w:spacing w:after="0" w:line="240" w:lineRule="auto"/>
      <w:ind w:firstLine="0"/>
    </w:pPr>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1B086E"/>
    <w:pPr>
      <w:spacing w:after="0" w:line="240" w:lineRule="auto"/>
      <w:ind w:firstLine="0"/>
    </w:pPr>
    <w:rPr>
      <w:rFonts w:ascii="Calibri" w:eastAsia="Calibri" w:hAnsi="Calibri"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B08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4403</Words>
  <Characters>25099</Characters>
  <Application>Microsoft Office Word</Application>
  <DocSecurity>0</DocSecurity>
  <Lines>209</Lines>
  <Paragraphs>58</Paragraphs>
  <ScaleCrop>false</ScaleCrop>
  <Company/>
  <LinksUpToDate>false</LinksUpToDate>
  <CharactersWithSpaces>29444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2026-09-17T02:40:00Z</dcterms:created>
  <dcterms:modified xsi:type="dcterms:W3CDTF">2026-09-17T02:41:00Z</dcterms:modified>
</cp:coreProperties>
</file>