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B3C1B" w:rsidRPr="009B3C1B" w:rsidRDefault="009B3C1B" w:rsidP="009B3C1B">
      <w:pPr>
        <w:spacing w:line="480" w:lineRule="auto"/>
        <w:ind w:left="720"/>
        <w:contextualSpacing/>
        <w:jc w:val="center"/>
        <w:outlineLvl w:val="0"/>
        <w:rPr>
          <w:rFonts w:eastAsia="Calibri"/>
          <w:b/>
          <w:bCs/>
          <w:kern w:val="2"/>
          <w:lang w:val="en-US"/>
        </w:rPr>
      </w:pPr>
      <w:bookmarkStart w:id="0" w:name="_Toc215398929"/>
      <w:bookmarkStart w:id="1" w:name="_Toc225694546"/>
      <w:bookmarkStart w:id="2" w:name="_Toc225698515"/>
      <w:r w:rsidRPr="009B3C1B">
        <w:rPr>
          <w:rFonts w:eastAsia="Calibri"/>
          <w:b/>
          <w:bCs/>
          <w:kern w:val="2"/>
          <w:lang w:val="en-US"/>
        </w:rPr>
        <w:t>BAB II</w:t>
      </w:r>
      <w:bookmarkEnd w:id="0"/>
      <w:bookmarkEnd w:id="1"/>
      <w:bookmarkEnd w:id="2"/>
    </w:p>
    <w:p w:rsidR="009B3C1B" w:rsidRPr="009B3C1B" w:rsidRDefault="009B3C1B" w:rsidP="009B3C1B">
      <w:pPr>
        <w:spacing w:line="480" w:lineRule="auto"/>
        <w:ind w:left="720"/>
        <w:contextualSpacing/>
        <w:jc w:val="center"/>
        <w:outlineLvl w:val="0"/>
        <w:rPr>
          <w:rFonts w:eastAsia="Calibri"/>
          <w:b/>
          <w:bCs/>
          <w:kern w:val="2"/>
          <w:lang w:val="en-US"/>
        </w:rPr>
      </w:pPr>
      <w:bookmarkStart w:id="3" w:name="_Toc215398930"/>
      <w:bookmarkStart w:id="4" w:name="_Toc225698516"/>
      <w:r w:rsidRPr="009B3C1B">
        <w:rPr>
          <w:rFonts w:eastAsia="Calibri"/>
          <w:b/>
          <w:bCs/>
          <w:kern w:val="2"/>
          <w:lang w:val="en-US"/>
        </w:rPr>
        <w:t>TINJAUAN PUSTAKA</w:t>
      </w:r>
      <w:bookmarkEnd w:id="3"/>
      <w:bookmarkEnd w:id="4"/>
    </w:p>
    <w:p w:rsidR="009B3C1B" w:rsidRPr="009B3C1B" w:rsidRDefault="009B3C1B" w:rsidP="009B3C1B">
      <w:pPr>
        <w:rPr>
          <w:lang w:val="en-US"/>
        </w:rPr>
      </w:pPr>
    </w:p>
    <w:p w:rsidR="009B3C1B" w:rsidRPr="009B3C1B" w:rsidRDefault="009B3C1B" w:rsidP="009B3C1B">
      <w:pPr>
        <w:numPr>
          <w:ilvl w:val="1"/>
          <w:numId w:val="10"/>
        </w:numPr>
        <w:spacing w:line="480" w:lineRule="auto"/>
        <w:ind w:left="567" w:hanging="567"/>
        <w:contextualSpacing/>
        <w:jc w:val="both"/>
        <w:outlineLvl w:val="2"/>
        <w:rPr>
          <w:rFonts w:eastAsia="Calibri"/>
          <w:b/>
          <w:bCs/>
          <w:color w:val="000000"/>
          <w:kern w:val="2"/>
          <w:lang w:val="en-US"/>
        </w:rPr>
      </w:pPr>
      <w:bookmarkStart w:id="5" w:name="_Toc225698517"/>
      <w:bookmarkStart w:id="6" w:name="_Toc215398932"/>
      <w:r w:rsidRPr="009B3C1B">
        <w:rPr>
          <w:rFonts w:eastAsia="Calibri"/>
          <w:b/>
          <w:bCs/>
          <w:color w:val="000000"/>
          <w:kern w:val="2"/>
          <w:lang w:val="en-US"/>
        </w:rPr>
        <w:t>Tinjauan Teori</w:t>
      </w:r>
      <w:bookmarkEnd w:id="5"/>
    </w:p>
    <w:p w:rsidR="009B3C1B" w:rsidRPr="009B3C1B" w:rsidRDefault="009B3C1B" w:rsidP="009B3C1B">
      <w:pPr>
        <w:numPr>
          <w:ilvl w:val="2"/>
          <w:numId w:val="10"/>
        </w:numPr>
        <w:spacing w:line="480" w:lineRule="auto"/>
        <w:ind w:left="567" w:hanging="567"/>
        <w:contextualSpacing/>
        <w:jc w:val="both"/>
        <w:outlineLvl w:val="2"/>
        <w:rPr>
          <w:rFonts w:eastAsia="Calibri"/>
          <w:b/>
          <w:bCs/>
          <w:kern w:val="2"/>
          <w:lang w:val="en-US"/>
        </w:rPr>
      </w:pPr>
      <w:bookmarkStart w:id="7" w:name="_Toc225698518"/>
      <w:r w:rsidRPr="009B3C1B">
        <w:rPr>
          <w:rFonts w:eastAsia="Calibri"/>
          <w:b/>
          <w:bCs/>
          <w:kern w:val="2"/>
          <w:lang w:val="en-US"/>
        </w:rPr>
        <w:t>Darah</w:t>
      </w:r>
      <w:bookmarkEnd w:id="6"/>
      <w:bookmarkEnd w:id="7"/>
    </w:p>
    <w:p w:rsidR="009B3C1B" w:rsidRPr="009B3C1B" w:rsidRDefault="009B3C1B" w:rsidP="009B3C1B">
      <w:pPr>
        <w:spacing w:line="480" w:lineRule="auto"/>
        <w:ind w:firstLine="567"/>
        <w:contextualSpacing/>
        <w:jc w:val="both"/>
        <w:rPr>
          <w:rFonts w:eastAsia="Calibri"/>
          <w:kern w:val="2"/>
          <w:lang w:val="id-ID"/>
        </w:rPr>
      </w:pPr>
      <w:r w:rsidRPr="009B3C1B">
        <w:rPr>
          <w:rFonts w:eastAsia="Calibri"/>
          <w:kern w:val="2"/>
        </w:rPr>
        <w:t>Darah merupakan jaringan berbentuk cair yang memiliki peranan penting dalam mempertahankan fungsi tubuh melalui pengangkutan oksigen, zat gizi, hormon, serta sisa metabolisme. Secara umum, darah tersusun atas plasma dan komponen seluler yang meliputi eritrosit, leukosit, serta trombosit. Plasma mengandung air, protein, elektrolit, dan faktor pembekuan yang mendukung berbagai proses fisiologis (Guyton &amp; Hall, 2016). Dalam satu unit darah lengkap terdapat sekitar 450 mL darah dengan tambahan 63 mL antikoagulan. Darah lengkap disimpan pada suhu 2–6°C, dengan komponen utamanya berupa eritrosit dan plasma yang dapat mengalami perubahan metabolik selama masa penyimpanan</w:t>
      </w:r>
      <w:r w:rsidRPr="009B3C1B">
        <w:rPr>
          <w:rFonts w:eastAsia="Calibri"/>
          <w:kern w:val="2"/>
          <w:lang w:val="id-ID"/>
        </w:rPr>
        <w:t xml:space="preserve"> </w:t>
      </w:r>
      <w:r w:rsidRPr="009B3C1B">
        <w:rPr>
          <w:rFonts w:eastAsia="Calibri"/>
          <w:color w:val="000000"/>
          <w:kern w:val="2"/>
          <w:lang w:val="id-ID"/>
        </w:rPr>
        <w:t>(Permenkes RI, 2022)</w:t>
      </w:r>
      <w:r w:rsidRPr="009B3C1B">
        <w:rPr>
          <w:rFonts w:eastAsia="Calibri"/>
          <w:kern w:val="2"/>
          <w:lang w:val="id-ID"/>
        </w:rPr>
        <w:t>.</w:t>
      </w:r>
    </w:p>
    <w:p w:rsidR="009B3C1B" w:rsidRPr="009B3C1B" w:rsidRDefault="009B3C1B" w:rsidP="009B3C1B">
      <w:pPr>
        <w:spacing w:line="480" w:lineRule="auto"/>
        <w:ind w:firstLine="567"/>
        <w:contextualSpacing/>
        <w:jc w:val="both"/>
        <w:rPr>
          <w:rFonts w:eastAsia="Calibri"/>
          <w:kern w:val="2"/>
          <w:lang w:val="id-ID"/>
        </w:rPr>
      </w:pPr>
      <w:r w:rsidRPr="009B3C1B">
        <w:rPr>
          <w:rFonts w:eastAsia="Calibri"/>
          <w:kern w:val="2"/>
          <w:lang w:val="id-ID"/>
        </w:rPr>
        <w:t xml:space="preserve">Komponen </w:t>
      </w:r>
      <w:r w:rsidRPr="009B3C1B">
        <w:rPr>
          <w:rFonts w:eastAsia="Calibri"/>
          <w:kern w:val="2"/>
        </w:rPr>
        <w:t>darah lengkap berfungsi untuk mempertahankan kapasitas pengangkutan oksigen sekaligus menggantikan volume darah yang hilang. Penggunaannya terutama ditujukan bagi pasien yang mengalami perdarahan aktif hingga kehilangan sekitar 25% dari total volume darah. Namun, pemberian darah lengkap juga memiliki risiko berupa terjadinya kelebihan volume cairan. Sementara itu, darah lengkap yang disimpan kurang dari tujuh hari dapat digunakan sebagai transfusi pengganti pada neonatus untuk membantu mencegah hiperkalemia</w:t>
      </w:r>
      <w:r w:rsidRPr="009B3C1B">
        <w:rPr>
          <w:rFonts w:eastAsia="Calibri"/>
          <w:kern w:val="2"/>
          <w:lang w:val="id-ID"/>
        </w:rPr>
        <w:t xml:space="preserve"> </w:t>
      </w:r>
      <w:r w:rsidRPr="009B3C1B">
        <w:rPr>
          <w:rFonts w:eastAsia="Calibri"/>
          <w:color w:val="000000"/>
          <w:kern w:val="2"/>
          <w:lang w:val="id-ID"/>
        </w:rPr>
        <w:t>(Permenkes RI, 2022)</w:t>
      </w:r>
      <w:r w:rsidRPr="009B3C1B">
        <w:rPr>
          <w:rFonts w:eastAsia="Calibri"/>
          <w:kern w:val="2"/>
          <w:lang w:val="id-ID"/>
        </w:rPr>
        <w:t>.</w:t>
      </w:r>
    </w:p>
    <w:p w:rsidR="009B3C1B" w:rsidRPr="009B3C1B" w:rsidRDefault="009B3C1B" w:rsidP="009B3C1B">
      <w:pPr>
        <w:spacing w:line="480" w:lineRule="auto"/>
        <w:ind w:firstLine="567"/>
        <w:contextualSpacing/>
        <w:jc w:val="both"/>
        <w:rPr>
          <w:rFonts w:eastAsia="Calibri"/>
          <w:kern w:val="2"/>
          <w:lang w:val="id-ID"/>
        </w:rPr>
      </w:pPr>
      <w:r w:rsidRPr="009B3C1B">
        <w:rPr>
          <w:rFonts w:eastAsia="Calibri"/>
          <w:kern w:val="2"/>
        </w:rPr>
        <w:t>Karakteristik darah dapat dikenali berdasarkan beberapa aspek, yaitu</w:t>
      </w:r>
      <w:r w:rsidRPr="009B3C1B">
        <w:rPr>
          <w:rFonts w:eastAsia="Calibri"/>
          <w:kern w:val="2"/>
          <w:lang w:val="id-ID"/>
        </w:rPr>
        <w:t>.</w:t>
      </w:r>
    </w:p>
    <w:p w:rsidR="009B3C1B" w:rsidRPr="009B3C1B" w:rsidRDefault="009B3C1B" w:rsidP="009B3C1B">
      <w:pPr>
        <w:numPr>
          <w:ilvl w:val="0"/>
          <w:numId w:val="5"/>
        </w:numPr>
        <w:spacing w:line="480" w:lineRule="auto"/>
        <w:ind w:left="284" w:hanging="296"/>
        <w:contextualSpacing/>
        <w:jc w:val="both"/>
        <w:rPr>
          <w:rFonts w:eastAsia="Calibri"/>
          <w:kern w:val="2"/>
          <w:lang w:val="sv-SE"/>
        </w:rPr>
      </w:pPr>
      <w:r w:rsidRPr="009B3C1B">
        <w:rPr>
          <w:rFonts w:eastAsia="Calibri"/>
          <w:bCs/>
          <w:kern w:val="2"/>
        </w:rPr>
        <w:lastRenderedPageBreak/>
        <w:t>Warna</w:t>
      </w:r>
      <w:r w:rsidRPr="009B3C1B">
        <w:rPr>
          <w:rFonts w:eastAsia="Calibri"/>
          <w:kern w:val="2"/>
        </w:rPr>
        <w:t>, darah arteri tampak merah lebih terang karena kandungan oksigennya tinggi, sedangkan darah vena berwarna merah lebih gelap akibat kandungan oksigen yang lebih rendah</w:t>
      </w:r>
      <w:r w:rsidRPr="009B3C1B">
        <w:rPr>
          <w:rFonts w:eastAsia="Calibri"/>
          <w:kern w:val="2"/>
          <w:lang w:val="sv-SE"/>
        </w:rPr>
        <w:t>.</w:t>
      </w:r>
    </w:p>
    <w:p w:rsidR="009B3C1B" w:rsidRPr="009B3C1B" w:rsidRDefault="009B3C1B" w:rsidP="009B3C1B">
      <w:pPr>
        <w:numPr>
          <w:ilvl w:val="0"/>
          <w:numId w:val="5"/>
        </w:numPr>
        <w:spacing w:line="480" w:lineRule="auto"/>
        <w:ind w:left="284" w:hanging="296"/>
        <w:contextualSpacing/>
        <w:jc w:val="both"/>
        <w:rPr>
          <w:rFonts w:eastAsia="Calibri"/>
          <w:kern w:val="2"/>
          <w:lang w:val="sv-SE"/>
        </w:rPr>
      </w:pPr>
      <w:r w:rsidRPr="009B3C1B">
        <w:rPr>
          <w:rFonts w:eastAsia="Calibri"/>
          <w:bCs/>
          <w:kern w:val="2"/>
        </w:rPr>
        <w:t>Viskositas</w:t>
      </w:r>
      <w:r w:rsidRPr="009B3C1B">
        <w:rPr>
          <w:rFonts w:eastAsia="Calibri"/>
          <w:kern w:val="2"/>
        </w:rPr>
        <w:t>, darah memiliki tingkat kekentalan sekitar 1,048–1,066 atau lebih tinggi dibandingkan air</w:t>
      </w:r>
      <w:r w:rsidRPr="009B3C1B">
        <w:rPr>
          <w:rFonts w:eastAsia="Calibri"/>
          <w:kern w:val="2"/>
          <w:lang w:val="sv-SE"/>
        </w:rPr>
        <w:t>.</w:t>
      </w:r>
    </w:p>
    <w:p w:rsidR="009B3C1B" w:rsidRPr="009B3C1B" w:rsidRDefault="009B3C1B" w:rsidP="009B3C1B">
      <w:pPr>
        <w:numPr>
          <w:ilvl w:val="0"/>
          <w:numId w:val="5"/>
        </w:numPr>
        <w:spacing w:line="480" w:lineRule="auto"/>
        <w:ind w:left="284" w:hanging="296"/>
        <w:contextualSpacing/>
        <w:jc w:val="both"/>
        <w:rPr>
          <w:rFonts w:eastAsia="Calibri"/>
          <w:kern w:val="2"/>
          <w:lang w:val="sv-SE"/>
        </w:rPr>
      </w:pPr>
      <w:r w:rsidRPr="009B3C1B">
        <w:rPr>
          <w:rFonts w:eastAsia="Calibri"/>
          <w:bCs/>
          <w:kern w:val="2"/>
        </w:rPr>
        <w:t>pH</w:t>
      </w:r>
      <w:r w:rsidRPr="009B3C1B">
        <w:rPr>
          <w:rFonts w:eastAsia="Calibri"/>
          <w:kern w:val="2"/>
        </w:rPr>
        <w:t>, darah berada dalam kondisi sedikit basa dengan rentang pH 7,35–7,45</w:t>
      </w:r>
      <w:r w:rsidRPr="009B3C1B">
        <w:rPr>
          <w:rFonts w:eastAsia="Calibri"/>
          <w:kern w:val="2"/>
          <w:lang w:val="sv-SE"/>
        </w:rPr>
        <w:t>.</w:t>
      </w:r>
    </w:p>
    <w:p w:rsidR="009B3C1B" w:rsidRPr="009B3C1B" w:rsidRDefault="009B3C1B" w:rsidP="009B3C1B">
      <w:pPr>
        <w:numPr>
          <w:ilvl w:val="0"/>
          <w:numId w:val="5"/>
        </w:numPr>
        <w:spacing w:line="480" w:lineRule="auto"/>
        <w:ind w:left="284" w:hanging="296"/>
        <w:contextualSpacing/>
        <w:jc w:val="both"/>
        <w:rPr>
          <w:rFonts w:eastAsia="Calibri"/>
          <w:kern w:val="2"/>
          <w:lang w:val="sv-SE"/>
        </w:rPr>
      </w:pPr>
      <w:r w:rsidRPr="009B3C1B">
        <w:rPr>
          <w:rFonts w:eastAsia="Calibri"/>
          <w:bCs/>
          <w:kern w:val="2"/>
        </w:rPr>
        <w:t>Volume</w:t>
      </w:r>
      <w:r w:rsidRPr="009B3C1B">
        <w:rPr>
          <w:rFonts w:eastAsia="Calibri"/>
          <w:kern w:val="2"/>
        </w:rPr>
        <w:t>, jumlah darah pada orang dewasa berkisar 70–75 mL/kg berat badan atau sekitar 4–5 liter</w:t>
      </w:r>
      <w:r w:rsidRPr="009B3C1B">
        <w:rPr>
          <w:rFonts w:eastAsia="Calibri"/>
          <w:kern w:val="2"/>
          <w:lang w:val="sv-SE"/>
        </w:rPr>
        <w:t xml:space="preserve">. </w:t>
      </w:r>
    </w:p>
    <w:p w:rsidR="009B3C1B" w:rsidRPr="009B3C1B" w:rsidRDefault="009B3C1B" w:rsidP="009B3C1B">
      <w:pPr>
        <w:spacing w:line="480" w:lineRule="auto"/>
        <w:ind w:firstLine="567"/>
        <w:jc w:val="both"/>
        <w:rPr>
          <w:lang w:val="sv-SE"/>
        </w:rPr>
      </w:pPr>
      <w:r w:rsidRPr="009B3C1B">
        <w:rPr>
          <w:lang w:val="sv-SE"/>
        </w:rPr>
        <w:t>Secara umum terdapat 3 fungsi utama darah yaitu sebagai berikut:</w:t>
      </w:r>
    </w:p>
    <w:p w:rsidR="009B3C1B" w:rsidRPr="009B3C1B" w:rsidRDefault="009B3C1B" w:rsidP="009B3C1B">
      <w:pPr>
        <w:numPr>
          <w:ilvl w:val="0"/>
          <w:numId w:val="6"/>
        </w:numPr>
        <w:spacing w:line="480" w:lineRule="auto"/>
        <w:ind w:left="284" w:hanging="284"/>
        <w:contextualSpacing/>
        <w:jc w:val="both"/>
        <w:rPr>
          <w:rFonts w:eastAsia="Calibri"/>
          <w:kern w:val="2"/>
          <w:lang w:val="en-US"/>
        </w:rPr>
      </w:pPr>
      <w:r w:rsidRPr="009B3C1B">
        <w:rPr>
          <w:rFonts w:eastAsia="Calibri"/>
          <w:kern w:val="2"/>
          <w:lang w:val="en-US"/>
        </w:rPr>
        <w:t>Sebagai transportasi subtansi yaitu:</w:t>
      </w:r>
    </w:p>
    <w:p w:rsidR="009B3C1B" w:rsidRPr="009B3C1B" w:rsidRDefault="009B3C1B" w:rsidP="009B3C1B">
      <w:pPr>
        <w:numPr>
          <w:ilvl w:val="0"/>
          <w:numId w:val="7"/>
        </w:numPr>
        <w:spacing w:line="480" w:lineRule="auto"/>
        <w:ind w:left="567" w:hanging="284"/>
        <w:contextualSpacing/>
        <w:jc w:val="both"/>
        <w:rPr>
          <w:rFonts w:eastAsia="Calibri"/>
          <w:kern w:val="2"/>
          <w:lang w:val="sv-SE"/>
        </w:rPr>
      </w:pPr>
      <w:r w:rsidRPr="009B3C1B">
        <w:rPr>
          <w:rFonts w:eastAsia="Calibri"/>
          <w:kern w:val="2"/>
        </w:rPr>
        <w:t>Mengedarkan oksigen dan karbon dioksida antara paru-paru dan jaringan tubuh</w:t>
      </w:r>
      <w:r w:rsidRPr="009B3C1B">
        <w:rPr>
          <w:rFonts w:eastAsia="Calibri"/>
          <w:kern w:val="2"/>
          <w:lang w:val="sv-SE"/>
        </w:rPr>
        <w:t>.</w:t>
      </w:r>
    </w:p>
    <w:p w:rsidR="009B3C1B" w:rsidRPr="009B3C1B" w:rsidRDefault="009B3C1B" w:rsidP="009B3C1B">
      <w:pPr>
        <w:numPr>
          <w:ilvl w:val="0"/>
          <w:numId w:val="7"/>
        </w:numPr>
        <w:spacing w:line="480" w:lineRule="auto"/>
        <w:ind w:left="567" w:hanging="284"/>
        <w:contextualSpacing/>
        <w:jc w:val="both"/>
        <w:rPr>
          <w:rFonts w:eastAsia="Calibri"/>
          <w:kern w:val="2"/>
          <w:lang w:val="en-US"/>
        </w:rPr>
      </w:pPr>
      <w:r w:rsidRPr="009B3C1B">
        <w:rPr>
          <w:rFonts w:eastAsia="Calibri"/>
          <w:kern w:val="2"/>
        </w:rPr>
        <w:t>Menyalurkan zat gizi dari saluran pencernaan ke seluruh tubuh</w:t>
      </w:r>
      <w:r w:rsidRPr="009B3C1B">
        <w:rPr>
          <w:rFonts w:eastAsia="Calibri"/>
          <w:kern w:val="2"/>
          <w:lang w:val="en-US"/>
        </w:rPr>
        <w:t>.</w:t>
      </w:r>
    </w:p>
    <w:p w:rsidR="009B3C1B" w:rsidRPr="009B3C1B" w:rsidRDefault="009B3C1B" w:rsidP="009B3C1B">
      <w:pPr>
        <w:numPr>
          <w:ilvl w:val="0"/>
          <w:numId w:val="7"/>
        </w:numPr>
        <w:spacing w:line="480" w:lineRule="auto"/>
        <w:ind w:left="567" w:hanging="284"/>
        <w:contextualSpacing/>
        <w:jc w:val="both"/>
        <w:rPr>
          <w:rFonts w:eastAsia="Calibri"/>
          <w:kern w:val="2"/>
          <w:lang w:val="en-US"/>
        </w:rPr>
      </w:pPr>
      <w:r w:rsidRPr="009B3C1B">
        <w:rPr>
          <w:rFonts w:eastAsia="Calibri"/>
          <w:kern w:val="2"/>
        </w:rPr>
        <w:t>Membawa sisa metabolisme menuju hati dan ginjal untuk diproses atau dikeluarkan</w:t>
      </w:r>
      <w:r w:rsidRPr="009B3C1B">
        <w:rPr>
          <w:rFonts w:eastAsia="Calibri"/>
          <w:kern w:val="2"/>
          <w:lang w:val="en-US"/>
        </w:rPr>
        <w:t>.</w:t>
      </w:r>
    </w:p>
    <w:p w:rsidR="009B3C1B" w:rsidRPr="009B3C1B" w:rsidRDefault="009B3C1B" w:rsidP="009B3C1B">
      <w:pPr>
        <w:numPr>
          <w:ilvl w:val="0"/>
          <w:numId w:val="7"/>
        </w:numPr>
        <w:spacing w:line="480" w:lineRule="auto"/>
        <w:ind w:left="567" w:hanging="284"/>
        <w:contextualSpacing/>
        <w:jc w:val="both"/>
        <w:rPr>
          <w:rFonts w:eastAsia="Calibri"/>
          <w:kern w:val="2"/>
          <w:lang w:val="sv-SE"/>
        </w:rPr>
      </w:pPr>
      <w:r w:rsidRPr="009B3C1B">
        <w:rPr>
          <w:rFonts w:eastAsia="Calibri"/>
          <w:kern w:val="2"/>
        </w:rPr>
        <w:t>Mengantarkan hormon dari kelenjar menuju jaringan target</w:t>
      </w:r>
      <w:r w:rsidRPr="009B3C1B">
        <w:rPr>
          <w:rFonts w:eastAsia="Calibri"/>
          <w:kern w:val="2"/>
          <w:lang w:val="sv-SE"/>
        </w:rPr>
        <w:t>.</w:t>
      </w:r>
    </w:p>
    <w:p w:rsidR="009B3C1B" w:rsidRPr="009B3C1B" w:rsidRDefault="009B3C1B" w:rsidP="009B3C1B">
      <w:pPr>
        <w:numPr>
          <w:ilvl w:val="0"/>
          <w:numId w:val="7"/>
        </w:numPr>
        <w:spacing w:line="480" w:lineRule="auto"/>
        <w:ind w:left="567" w:hanging="284"/>
        <w:contextualSpacing/>
        <w:jc w:val="both"/>
        <w:rPr>
          <w:rFonts w:eastAsia="Calibri"/>
          <w:kern w:val="2"/>
          <w:lang w:val="en-US"/>
        </w:rPr>
      </w:pPr>
      <w:r w:rsidRPr="009B3C1B">
        <w:rPr>
          <w:rFonts w:eastAsia="Calibri"/>
          <w:kern w:val="2"/>
        </w:rPr>
        <w:t>Membantu mempertahankan kestabilan suhu tubuh</w:t>
      </w:r>
      <w:r w:rsidRPr="009B3C1B">
        <w:rPr>
          <w:rFonts w:eastAsia="Calibri"/>
          <w:kern w:val="2"/>
          <w:lang w:val="en-US"/>
        </w:rPr>
        <w:t>.</w:t>
      </w:r>
    </w:p>
    <w:p w:rsidR="009B3C1B" w:rsidRPr="009B3C1B" w:rsidRDefault="009B3C1B" w:rsidP="009B3C1B">
      <w:pPr>
        <w:numPr>
          <w:ilvl w:val="0"/>
          <w:numId w:val="6"/>
        </w:numPr>
        <w:spacing w:line="480" w:lineRule="auto"/>
        <w:ind w:left="284" w:hanging="284"/>
        <w:contextualSpacing/>
        <w:jc w:val="both"/>
        <w:rPr>
          <w:rFonts w:eastAsia="Calibri"/>
          <w:kern w:val="2"/>
          <w:lang w:val="sv-SE"/>
        </w:rPr>
      </w:pPr>
      <w:r w:rsidRPr="009B3C1B">
        <w:rPr>
          <w:rFonts w:eastAsia="Calibri"/>
          <w:kern w:val="2"/>
          <w:lang w:val="sv-SE"/>
        </w:rPr>
        <w:t>Berikutnya sebagai proteksi, darah banyak berperan dalam proses inflamasi:</w:t>
      </w:r>
    </w:p>
    <w:p w:rsidR="009B3C1B" w:rsidRPr="009B3C1B" w:rsidRDefault="009B3C1B" w:rsidP="009B3C1B">
      <w:pPr>
        <w:numPr>
          <w:ilvl w:val="0"/>
          <w:numId w:val="11"/>
        </w:numPr>
        <w:spacing w:line="480" w:lineRule="auto"/>
        <w:ind w:left="567" w:hanging="284"/>
        <w:contextualSpacing/>
        <w:jc w:val="both"/>
        <w:rPr>
          <w:rFonts w:eastAsia="Calibri"/>
          <w:kern w:val="2"/>
          <w:lang w:val="sv-SE"/>
        </w:rPr>
      </w:pPr>
      <w:r w:rsidRPr="009B3C1B">
        <w:rPr>
          <w:rFonts w:eastAsia="Calibri"/>
          <w:kern w:val="2"/>
          <w:lang w:val="sv-SE"/>
        </w:rPr>
        <w:t>Leukosit berperan sebagai pengahancur mikroorganisme pathogen dan sel kanker.</w:t>
      </w:r>
    </w:p>
    <w:p w:rsidR="009B3C1B" w:rsidRPr="009B3C1B" w:rsidRDefault="009B3C1B" w:rsidP="009B3C1B">
      <w:pPr>
        <w:numPr>
          <w:ilvl w:val="0"/>
          <w:numId w:val="11"/>
        </w:numPr>
        <w:spacing w:line="480" w:lineRule="auto"/>
        <w:ind w:left="567" w:hanging="284"/>
        <w:contextualSpacing/>
        <w:jc w:val="both"/>
        <w:rPr>
          <w:rFonts w:eastAsia="Calibri"/>
          <w:kern w:val="2"/>
          <w:lang w:val="fi-FI"/>
        </w:rPr>
      </w:pPr>
      <w:r w:rsidRPr="009B3C1B">
        <w:rPr>
          <w:rFonts w:eastAsia="Calibri"/>
          <w:kern w:val="2"/>
          <w:lang w:val="fi-FI"/>
        </w:rPr>
        <w:t>Antibodi dan protein lainnya mengancurkan atau mengeliminasi subtansi pathogen.</w:t>
      </w:r>
    </w:p>
    <w:p w:rsidR="009B3C1B" w:rsidRPr="009B3C1B" w:rsidRDefault="009B3C1B" w:rsidP="009B3C1B">
      <w:pPr>
        <w:numPr>
          <w:ilvl w:val="0"/>
          <w:numId w:val="11"/>
        </w:numPr>
        <w:spacing w:line="480" w:lineRule="auto"/>
        <w:ind w:left="567" w:hanging="284"/>
        <w:contextualSpacing/>
        <w:jc w:val="both"/>
        <w:rPr>
          <w:rFonts w:eastAsia="Calibri"/>
          <w:kern w:val="2"/>
          <w:lang w:val="fi-FI"/>
        </w:rPr>
      </w:pPr>
      <w:r w:rsidRPr="009B3C1B">
        <w:rPr>
          <w:rFonts w:eastAsia="Calibri"/>
          <w:kern w:val="2"/>
          <w:lang w:val="fi-FI"/>
        </w:rPr>
        <w:lastRenderedPageBreak/>
        <w:t>Trombosit menginisiasi faktor pembekuan darah untuk meminimalisir kehilangan darah.</w:t>
      </w:r>
    </w:p>
    <w:p w:rsidR="009B3C1B" w:rsidRPr="009B3C1B" w:rsidRDefault="009B3C1B" w:rsidP="009B3C1B">
      <w:pPr>
        <w:numPr>
          <w:ilvl w:val="0"/>
          <w:numId w:val="6"/>
        </w:numPr>
        <w:spacing w:line="480" w:lineRule="auto"/>
        <w:ind w:left="284" w:hanging="284"/>
        <w:contextualSpacing/>
        <w:jc w:val="both"/>
        <w:rPr>
          <w:rFonts w:eastAsia="Calibri"/>
          <w:kern w:val="2"/>
          <w:lang w:val="sv-SE"/>
        </w:rPr>
      </w:pPr>
      <w:r w:rsidRPr="009B3C1B">
        <w:rPr>
          <w:rFonts w:eastAsia="Calibri"/>
          <w:kern w:val="2"/>
          <w:lang w:val="sv-SE"/>
        </w:rPr>
        <w:t xml:space="preserve">Ketiga sebagai regulator, </w:t>
      </w:r>
      <w:r w:rsidRPr="009B3C1B">
        <w:rPr>
          <w:rFonts w:eastAsia="Calibri"/>
          <w:kern w:val="2"/>
        </w:rPr>
        <w:t>darah turut berfungsi menjaga kestabilan kondisi internal tubuh melalui</w:t>
      </w:r>
      <w:r w:rsidRPr="009B3C1B">
        <w:rPr>
          <w:rFonts w:eastAsia="Calibri"/>
          <w:kern w:val="2"/>
          <w:lang w:val="sv-SE"/>
        </w:rPr>
        <w:t>:</w:t>
      </w:r>
    </w:p>
    <w:p w:rsidR="009B3C1B" w:rsidRPr="009B3C1B" w:rsidRDefault="009B3C1B" w:rsidP="009B3C1B">
      <w:pPr>
        <w:numPr>
          <w:ilvl w:val="0"/>
          <w:numId w:val="12"/>
        </w:numPr>
        <w:spacing w:line="480" w:lineRule="auto"/>
        <w:ind w:left="567" w:hanging="284"/>
        <w:contextualSpacing/>
        <w:jc w:val="both"/>
        <w:rPr>
          <w:rFonts w:eastAsia="Calibri"/>
          <w:kern w:val="2"/>
          <w:lang w:val="fi-FI"/>
        </w:rPr>
      </w:pPr>
      <w:r w:rsidRPr="009B3C1B">
        <w:rPr>
          <w:rFonts w:eastAsia="Calibri"/>
          <w:kern w:val="2"/>
        </w:rPr>
        <w:t>Pengaturan pH dengan mempertahankan keseimbangan asam dan basa</w:t>
      </w:r>
      <w:r w:rsidRPr="009B3C1B">
        <w:rPr>
          <w:rFonts w:eastAsia="Calibri"/>
          <w:kern w:val="2"/>
          <w:lang w:val="fi-FI"/>
        </w:rPr>
        <w:t>.</w:t>
      </w:r>
    </w:p>
    <w:p w:rsidR="009B3C1B" w:rsidRPr="009B3C1B" w:rsidRDefault="009B3C1B" w:rsidP="009B3C1B">
      <w:pPr>
        <w:numPr>
          <w:ilvl w:val="0"/>
          <w:numId w:val="12"/>
        </w:numPr>
        <w:spacing w:line="480" w:lineRule="auto"/>
        <w:ind w:left="567" w:hanging="284"/>
        <w:contextualSpacing/>
        <w:jc w:val="both"/>
        <w:rPr>
          <w:rFonts w:eastAsia="Calibri"/>
          <w:kern w:val="2"/>
          <w:lang w:val="sv-SE"/>
        </w:rPr>
      </w:pPr>
      <w:r w:rsidRPr="009B3C1B">
        <w:rPr>
          <w:rFonts w:eastAsia="Calibri"/>
          <w:kern w:val="2"/>
        </w:rPr>
        <w:t>Pemeliharaan keseimbangan cairan tubuh melalui pengaturan perpindahan air antara darah dan jaringan</w:t>
      </w:r>
      <w:r w:rsidRPr="009B3C1B">
        <w:rPr>
          <w:rFonts w:eastAsia="Calibri"/>
          <w:kern w:val="2"/>
          <w:lang w:val="sv-SE"/>
        </w:rPr>
        <w:t xml:space="preserve"> </w:t>
      </w:r>
      <w:r w:rsidRPr="009B3C1B">
        <w:rPr>
          <w:rFonts w:eastAsia="Calibri"/>
          <w:color w:val="000000"/>
          <w:kern w:val="2"/>
          <w:lang w:val="sv-SE"/>
        </w:rPr>
        <w:t>(Permenkes RI, 2022)</w:t>
      </w:r>
      <w:r w:rsidRPr="009B3C1B">
        <w:rPr>
          <w:rFonts w:eastAsia="Calibri"/>
          <w:kern w:val="2"/>
          <w:lang w:val="sv-SE"/>
        </w:rPr>
        <w:t>.</w:t>
      </w:r>
    </w:p>
    <w:p w:rsidR="009B3C1B" w:rsidRPr="009B3C1B" w:rsidRDefault="009B3C1B" w:rsidP="009B3C1B">
      <w:pPr>
        <w:numPr>
          <w:ilvl w:val="2"/>
          <w:numId w:val="10"/>
        </w:numPr>
        <w:spacing w:line="480" w:lineRule="auto"/>
        <w:ind w:left="567" w:hanging="567"/>
        <w:contextualSpacing/>
        <w:jc w:val="both"/>
        <w:outlineLvl w:val="2"/>
        <w:rPr>
          <w:rFonts w:eastAsia="Calibri"/>
          <w:b/>
          <w:bCs/>
          <w:kern w:val="2"/>
          <w:lang w:val="en-US"/>
        </w:rPr>
      </w:pPr>
      <w:bookmarkStart w:id="8" w:name="_Toc215398933"/>
      <w:bookmarkStart w:id="9" w:name="_Toc225698519"/>
      <w:r w:rsidRPr="009B3C1B">
        <w:rPr>
          <w:rFonts w:eastAsia="Calibri"/>
          <w:b/>
          <w:bCs/>
          <w:kern w:val="2"/>
          <w:lang w:val="en-US"/>
        </w:rPr>
        <w:t>Hemoglobin (Hb)</w:t>
      </w:r>
      <w:bookmarkEnd w:id="8"/>
      <w:bookmarkEnd w:id="9"/>
    </w:p>
    <w:p w:rsidR="009B3C1B" w:rsidRPr="009B3C1B" w:rsidRDefault="009B3C1B" w:rsidP="009B3C1B">
      <w:pPr>
        <w:spacing w:line="480" w:lineRule="auto"/>
        <w:ind w:firstLine="567"/>
        <w:jc w:val="both"/>
        <w:rPr>
          <w:color w:val="000000"/>
          <w:lang w:val="id-ID"/>
        </w:rPr>
      </w:pPr>
      <w:r w:rsidRPr="009B3C1B">
        <w:rPr>
          <w:color w:val="000000"/>
        </w:rPr>
        <w:t xml:space="preserve">Hemoglobin merupakan komponen protein dalam eritrosit yang berperan utama dalam proses transportasi oksigen dan karbon dioksida. Pada PRC, kadar hemoglobin dapat menggambarkan kondisi serta jumlah sel darah merah yang masih dalam keadaan baik. Selama masa penyimpanan, nilainya dapat mengalami penurunan akibat kerusakan membran eritrosit, hemolisis, dan berkurangnya kemampuan hidup sel (Jain, 2019). Pemeriksaan hemoglobin dilakukan dengan mengukur intensitas warna darah menggunakan fotometer atau </w:t>
      </w:r>
      <w:r w:rsidRPr="009B3C1B">
        <w:rPr>
          <w:i/>
          <w:iCs/>
          <w:color w:val="000000"/>
        </w:rPr>
        <w:t>Hematology Analyzer</w:t>
      </w:r>
      <w:r w:rsidRPr="009B3C1B">
        <w:rPr>
          <w:color w:val="000000"/>
        </w:rPr>
        <w:t>, kemudian hasilnya dinyatakan dalam g/dL. Rentang normal kadar hemoglobin berada pada 13,5–17,5 g/dL untuk pria dan 12,0–16,0 g/dL untuk wanita</w:t>
      </w:r>
      <w:r w:rsidRPr="009B3C1B">
        <w:rPr>
          <w:color w:val="000000"/>
          <w:lang w:val="id-ID"/>
        </w:rPr>
        <w:t xml:space="preserve">. </w:t>
      </w:r>
    </w:p>
    <w:p w:rsidR="009B3C1B" w:rsidRPr="009B3C1B" w:rsidRDefault="009B3C1B" w:rsidP="009B3C1B">
      <w:pPr>
        <w:spacing w:line="480" w:lineRule="auto"/>
        <w:ind w:firstLine="567"/>
        <w:jc w:val="both"/>
        <w:rPr>
          <w:color w:val="000000"/>
          <w:lang w:val="id-ID"/>
        </w:rPr>
      </w:pPr>
      <w:r w:rsidRPr="009B3C1B">
        <w:rPr>
          <w:color w:val="000000"/>
        </w:rPr>
        <w:t xml:space="preserve">Penurunan kadar hemoglobin dapat berkaitan dengan berbagai kondisi, seperti kehamilan, perdarahan, infeksi atau penyakit kronis, tumor, gangguan fungsi hati, serta kekurangan vitamin dan mineral (D’Hiru, 2015). Selain itu, perubahan gen yang mengatur pembentukan hemoglobin dapat menyebabkan hemoglobinopati, dengan anemia sel sabit dan talasemia sebagai beberapa bentuk </w:t>
      </w:r>
      <w:r w:rsidRPr="009B3C1B">
        <w:rPr>
          <w:color w:val="000000"/>
        </w:rPr>
        <w:lastRenderedPageBreak/>
        <w:t>yang paling umum. Dalam pelayanan transfusi, kadar hemoglobin juga menjadi salah satu pertimbangan untuk menentukan kelayakan seseorang sebagai donor serta membantu tenaga medis dalam menetapkan kebutuhan transfusi pada pasien.</w:t>
      </w:r>
    </w:p>
    <w:p w:rsidR="009B3C1B" w:rsidRPr="009B3C1B" w:rsidRDefault="009B3C1B" w:rsidP="009B3C1B">
      <w:pPr>
        <w:spacing w:line="480" w:lineRule="auto"/>
        <w:ind w:firstLine="1276"/>
        <w:jc w:val="both"/>
        <w:rPr>
          <w:color w:val="000000"/>
          <w:lang w:val="id-ID"/>
        </w:rPr>
      </w:pPr>
    </w:p>
    <w:p w:rsidR="009B3C1B" w:rsidRPr="009B3C1B" w:rsidRDefault="009B3C1B" w:rsidP="009B3C1B">
      <w:pPr>
        <w:numPr>
          <w:ilvl w:val="2"/>
          <w:numId w:val="10"/>
        </w:numPr>
        <w:spacing w:line="480" w:lineRule="auto"/>
        <w:ind w:left="567" w:hanging="567"/>
        <w:jc w:val="both"/>
        <w:outlineLvl w:val="2"/>
        <w:rPr>
          <w:b/>
          <w:bCs/>
          <w:color w:val="000000"/>
          <w:lang w:val="id-ID"/>
        </w:rPr>
      </w:pPr>
      <w:bookmarkStart w:id="10" w:name="_Toc215398934"/>
      <w:bookmarkStart w:id="11" w:name="_Toc225698520"/>
      <w:r w:rsidRPr="009B3C1B">
        <w:rPr>
          <w:b/>
          <w:bCs/>
          <w:color w:val="000000"/>
          <w:lang w:val="id-ID"/>
        </w:rPr>
        <w:t>Hematokrit (HCT)</w:t>
      </w:r>
      <w:bookmarkEnd w:id="10"/>
      <w:bookmarkEnd w:id="11"/>
    </w:p>
    <w:p w:rsidR="009B3C1B" w:rsidRPr="009B3C1B" w:rsidRDefault="009B3C1B" w:rsidP="009B3C1B">
      <w:pPr>
        <w:spacing w:line="480" w:lineRule="auto"/>
        <w:ind w:firstLine="567"/>
        <w:jc w:val="both"/>
        <w:rPr>
          <w:color w:val="000000"/>
          <w:lang w:val="id-ID"/>
        </w:rPr>
      </w:pPr>
      <w:r w:rsidRPr="009B3C1B">
        <w:rPr>
          <w:color w:val="000000"/>
          <w:lang w:val="id-ID"/>
        </w:rPr>
        <w:t xml:space="preserve">Hematokrit Hematokrit (Hct) atau dalam Bahasa Inggris disebut </w:t>
      </w:r>
      <w:r w:rsidRPr="009B3C1B">
        <w:rPr>
          <w:i/>
          <w:iCs/>
          <w:color w:val="000000"/>
          <w:lang w:val="id-ID"/>
        </w:rPr>
        <w:t>Packed Cell</w:t>
      </w:r>
      <w:r w:rsidRPr="009B3C1B">
        <w:rPr>
          <w:color w:val="000000"/>
          <w:lang w:val="id-ID"/>
        </w:rPr>
        <w:t xml:space="preserve"> </w:t>
      </w:r>
      <w:r w:rsidRPr="009B3C1B">
        <w:rPr>
          <w:i/>
          <w:iCs/>
          <w:color w:val="000000"/>
          <w:lang w:val="id-ID"/>
        </w:rPr>
        <w:t>Volume</w:t>
      </w:r>
      <w:r w:rsidRPr="009B3C1B">
        <w:rPr>
          <w:color w:val="000000"/>
          <w:lang w:val="id-ID"/>
        </w:rPr>
        <w:t xml:space="preserve"> (PCV) merupakan persentase volume eritrosit dibandingkan total volume darah. PRC </w:t>
      </w:r>
      <w:r w:rsidRPr="009B3C1B">
        <w:rPr>
          <w:i/>
          <w:iCs/>
          <w:color w:val="000000"/>
          <w:lang w:val="id-ID"/>
        </w:rPr>
        <w:t>(Packed Red Cell)</w:t>
      </w:r>
      <w:r w:rsidRPr="009B3C1B">
        <w:rPr>
          <w:color w:val="000000"/>
          <w:lang w:val="id-ID"/>
        </w:rPr>
        <w:t xml:space="preserve"> umumnya memiliki hematokrit 60–70%, tergantung proses sentrifugasi dan jenis larutan tambahan yang digunakan. Pada penyimpanan, nilai hematokrit relatif lebih stabil dibanding hemoglobin, tetapi dapat berubah akibat hemolisis, perubahan volume plasma residual, kebocoran mikro sel akibat </w:t>
      </w:r>
      <w:r w:rsidRPr="009B3C1B">
        <w:rPr>
          <w:i/>
          <w:iCs/>
          <w:color w:val="000000"/>
          <w:lang w:val="id-ID"/>
        </w:rPr>
        <w:t>storage lesion</w:t>
      </w:r>
      <w:r w:rsidRPr="009B3C1B">
        <w:rPr>
          <w:color w:val="000000"/>
          <w:lang w:val="id-ID"/>
        </w:rPr>
        <w:t>. Hematokrit yang menurun dapat mengindikasikan kerusakan sel darah merah dan penurunan kualitas PRC (Jain, 2019).</w:t>
      </w:r>
    </w:p>
    <w:p w:rsidR="009B3C1B" w:rsidRPr="009B3C1B" w:rsidRDefault="009B3C1B" w:rsidP="009B3C1B">
      <w:pPr>
        <w:spacing w:line="480" w:lineRule="auto"/>
        <w:ind w:firstLine="567"/>
        <w:jc w:val="both"/>
        <w:rPr>
          <w:color w:val="000000"/>
          <w:lang w:val="id-ID"/>
        </w:rPr>
      </w:pPr>
      <w:r w:rsidRPr="009B3C1B">
        <w:rPr>
          <w:color w:val="000000"/>
        </w:rPr>
        <w:t>Semakin tinggi nilai hematokrit, maka akan semakin kental darah yang dihasilkan. Nilai normalnya berkisar 40–48% pada pria dan 37–43% pada wanita. Bersama hemoglobin, hematokrit dapat digunakan untuk memperkirakan tingkat anemia seseorang (D’Hiru, 2015). Selain itu, pemeriksaan hematokrit bermanfaat sebagai skrining anemia, acuan kalibrasi alat penghitung sel darah otomatis, serta perkiraan hasil pengukuran hemoglobin</w:t>
      </w:r>
      <w:r w:rsidRPr="009B3C1B">
        <w:rPr>
          <w:color w:val="000000"/>
          <w:lang w:val="id-ID"/>
        </w:rPr>
        <w:t xml:space="preserve"> </w:t>
      </w:r>
      <w:r w:rsidRPr="009B3C1B">
        <w:rPr>
          <w:color w:val="000000"/>
          <w:szCs w:val="18"/>
          <w:lang w:val="id-ID"/>
        </w:rPr>
        <w:t>(Asra &amp; Nurhayati, 2022)</w:t>
      </w:r>
      <w:r w:rsidRPr="009B3C1B">
        <w:rPr>
          <w:color w:val="000000"/>
          <w:lang w:val="id-ID"/>
        </w:rPr>
        <w:t>.</w:t>
      </w:r>
    </w:p>
    <w:p w:rsidR="009B3C1B" w:rsidRPr="009B3C1B" w:rsidRDefault="009B3C1B" w:rsidP="009B3C1B">
      <w:pPr>
        <w:numPr>
          <w:ilvl w:val="2"/>
          <w:numId w:val="10"/>
        </w:numPr>
        <w:spacing w:line="480" w:lineRule="auto"/>
        <w:ind w:left="567" w:hanging="567"/>
        <w:jc w:val="both"/>
        <w:outlineLvl w:val="2"/>
        <w:rPr>
          <w:b/>
          <w:bCs/>
          <w:color w:val="000000"/>
          <w:lang w:val="id-ID"/>
        </w:rPr>
      </w:pPr>
      <w:bookmarkStart w:id="12" w:name="_Toc215398935"/>
      <w:bookmarkStart w:id="13" w:name="_Toc225698521"/>
      <w:r w:rsidRPr="009B3C1B">
        <w:rPr>
          <w:b/>
          <w:bCs/>
          <w:color w:val="000000"/>
          <w:lang w:val="id-ID"/>
        </w:rPr>
        <w:t>Penyimpanan Darah</w:t>
      </w:r>
      <w:bookmarkEnd w:id="12"/>
      <w:bookmarkEnd w:id="13"/>
      <w:r w:rsidRPr="009B3C1B">
        <w:rPr>
          <w:b/>
          <w:bCs/>
          <w:color w:val="000000"/>
          <w:lang w:val="id-ID"/>
        </w:rPr>
        <w:t xml:space="preserve"> </w:t>
      </w:r>
    </w:p>
    <w:p w:rsidR="009B3C1B" w:rsidRPr="009B3C1B" w:rsidRDefault="009B3C1B" w:rsidP="009B3C1B">
      <w:pPr>
        <w:spacing w:line="480" w:lineRule="auto"/>
        <w:ind w:firstLine="567"/>
        <w:jc w:val="both"/>
        <w:rPr>
          <w:color w:val="000000"/>
          <w:lang w:val="id-ID"/>
        </w:rPr>
      </w:pPr>
      <w:r w:rsidRPr="009B3C1B">
        <w:rPr>
          <w:color w:val="000000"/>
        </w:rPr>
        <w:t xml:space="preserve">Selama masa penyimpanan, eritrosit tidak berada dalam kondisi yang sepenuhnya stabil. Berbagai perubahan dapat berlangsung pada aspek metabolisme, biokimia, hingga tingkat molekuler (Adiratna </w:t>
      </w:r>
      <w:r w:rsidRPr="009B3C1B">
        <w:rPr>
          <w:i/>
          <w:iCs/>
          <w:color w:val="000000"/>
        </w:rPr>
        <w:t>et al</w:t>
      </w:r>
      <w:r w:rsidRPr="009B3C1B">
        <w:rPr>
          <w:color w:val="000000"/>
        </w:rPr>
        <w:t xml:space="preserve">., 2023). Kondisi tersebut antara </w:t>
      </w:r>
      <w:r w:rsidRPr="009B3C1B">
        <w:rPr>
          <w:color w:val="000000"/>
        </w:rPr>
        <w:lastRenderedPageBreak/>
        <w:t>lain ditandai oleh perubahan konsentrasi elektrolit, seperti Na⁺, K⁺, dan Cl⁻, serta penurunan pH. Apabila berlangsung terus-menerus, perubahan tersebut dapat memengaruhi integritas protein penyusun sitoskeleton membran eritrosit sehingga berpotensi menurunkan kualitas sel darah merah</w:t>
      </w:r>
      <w:r w:rsidRPr="009B3C1B">
        <w:rPr>
          <w:color w:val="000000"/>
          <w:lang w:val="id-ID"/>
        </w:rPr>
        <w:t xml:space="preserve"> </w:t>
      </w:r>
      <w:r w:rsidRPr="009B3C1B">
        <w:rPr>
          <w:color w:val="000000"/>
          <w:szCs w:val="18"/>
          <w:lang w:val="id-ID"/>
        </w:rPr>
        <w:t>(Saputro &amp; Lestari, 2021)</w:t>
      </w:r>
      <w:r w:rsidRPr="009B3C1B">
        <w:rPr>
          <w:color w:val="000000"/>
          <w:lang w:val="id-ID"/>
        </w:rPr>
        <w:t>.</w:t>
      </w:r>
    </w:p>
    <w:p w:rsidR="009B3C1B" w:rsidRPr="009B3C1B" w:rsidRDefault="009B3C1B" w:rsidP="009B3C1B">
      <w:pPr>
        <w:spacing w:line="480" w:lineRule="auto"/>
        <w:ind w:firstLine="567"/>
        <w:jc w:val="both"/>
        <w:rPr>
          <w:color w:val="000000"/>
          <w:lang w:val="id-ID"/>
        </w:rPr>
      </w:pPr>
      <w:r w:rsidRPr="009B3C1B">
        <w:rPr>
          <w:color w:val="000000"/>
        </w:rPr>
        <w:t>Dampak penyimpanan terhadap eritrosit dapat dibedakan menjadi perubahan yang masih dapat dipulihkan (</w:t>
      </w:r>
      <w:r w:rsidRPr="009B3C1B">
        <w:rPr>
          <w:i/>
          <w:iCs/>
          <w:color w:val="000000"/>
        </w:rPr>
        <w:t>reversible</w:t>
      </w:r>
      <w:r w:rsidRPr="009B3C1B">
        <w:rPr>
          <w:color w:val="000000"/>
        </w:rPr>
        <w:t>) dan perubahan yang bersifat menetap (</w:t>
      </w:r>
      <w:r w:rsidRPr="009B3C1B">
        <w:rPr>
          <w:i/>
          <w:iCs/>
          <w:color w:val="000000"/>
        </w:rPr>
        <w:t>irreversible</w:t>
      </w:r>
      <w:r w:rsidRPr="009B3C1B">
        <w:rPr>
          <w:color w:val="000000"/>
        </w:rPr>
        <w:t xml:space="preserve">). Penurunan kadar ATP dan 2,3-DPG termasuk dalam perubahan yang masih bersifat </w:t>
      </w:r>
      <w:r w:rsidRPr="009B3C1B">
        <w:rPr>
          <w:i/>
          <w:iCs/>
          <w:color w:val="000000"/>
        </w:rPr>
        <w:t>reversible</w:t>
      </w:r>
      <w:r w:rsidRPr="009B3C1B">
        <w:rPr>
          <w:color w:val="000000"/>
        </w:rPr>
        <w:t xml:space="preserve">. Sebaliknya, meningkatnya kerapuhan osmotik, mengecilnya ukuran eritrosit yang berpengaruh terhadap fungsi sel, terbentuknya </w:t>
      </w:r>
      <w:r w:rsidRPr="009B3C1B">
        <w:rPr>
          <w:i/>
          <w:iCs/>
          <w:color w:val="000000"/>
        </w:rPr>
        <w:t>microvesiculation</w:t>
      </w:r>
      <w:r w:rsidRPr="009B3C1B">
        <w:rPr>
          <w:color w:val="000000"/>
        </w:rPr>
        <w:t xml:space="preserve">, terjadinya hemolisis, serta perubahan bentuk sel merupakan bagian dari perubahan </w:t>
      </w:r>
      <w:r w:rsidRPr="009B3C1B">
        <w:rPr>
          <w:i/>
          <w:iCs/>
          <w:color w:val="000000"/>
        </w:rPr>
        <w:t>irreversible</w:t>
      </w:r>
      <w:r w:rsidRPr="009B3C1B">
        <w:rPr>
          <w:color w:val="000000"/>
        </w:rPr>
        <w:t xml:space="preserve"> yang dapat muncul selama penyimpanan</w:t>
      </w:r>
      <w:r w:rsidRPr="009B3C1B">
        <w:rPr>
          <w:color w:val="000000"/>
          <w:lang w:val="id-ID"/>
        </w:rPr>
        <w:t xml:space="preserve">  </w:t>
      </w:r>
      <w:r w:rsidRPr="009B3C1B">
        <w:rPr>
          <w:color w:val="000000"/>
          <w:szCs w:val="18"/>
          <w:lang w:val="id-ID"/>
        </w:rPr>
        <w:t xml:space="preserve">(Subekti </w:t>
      </w:r>
      <w:r w:rsidRPr="009B3C1B">
        <w:rPr>
          <w:i/>
          <w:iCs/>
          <w:color w:val="000000"/>
          <w:szCs w:val="18"/>
          <w:lang w:val="id-ID"/>
        </w:rPr>
        <w:t>et al</w:t>
      </w:r>
      <w:r w:rsidRPr="009B3C1B">
        <w:rPr>
          <w:color w:val="000000"/>
          <w:szCs w:val="18"/>
          <w:lang w:val="id-ID"/>
        </w:rPr>
        <w:t>, 2020)</w:t>
      </w:r>
      <w:r w:rsidRPr="009B3C1B">
        <w:rPr>
          <w:color w:val="000000"/>
          <w:lang w:val="id-ID"/>
        </w:rPr>
        <w:t xml:space="preserve">. </w:t>
      </w:r>
      <w:r w:rsidRPr="009B3C1B">
        <w:rPr>
          <w:color w:val="000000"/>
        </w:rPr>
        <w:t>Untuk mempertahankan mutu darah donor sebelum diberikan kepada pasien, darah yang belum digunakan harus ditempatkan pada fasilitas penyimpanan dengan kondisi yang terkontrol. Pengaturan penyimpanan tersebut meliputi beberapa persyaratan, yaitu</w:t>
      </w:r>
      <w:r w:rsidRPr="009B3C1B">
        <w:rPr>
          <w:color w:val="000000"/>
          <w:lang w:val="id-ID"/>
        </w:rPr>
        <w:t xml:space="preserve">: </w:t>
      </w:r>
    </w:p>
    <w:p w:rsidR="009B3C1B" w:rsidRPr="009B3C1B" w:rsidRDefault="009B3C1B" w:rsidP="009B3C1B">
      <w:pPr>
        <w:numPr>
          <w:ilvl w:val="0"/>
          <w:numId w:val="8"/>
        </w:numPr>
        <w:spacing w:line="480" w:lineRule="auto"/>
        <w:ind w:left="284" w:hanging="284"/>
        <w:jc w:val="both"/>
        <w:rPr>
          <w:color w:val="000000"/>
          <w:lang w:val="id-ID"/>
        </w:rPr>
      </w:pPr>
      <w:r w:rsidRPr="009B3C1B">
        <w:rPr>
          <w:color w:val="000000"/>
        </w:rPr>
        <w:t>Darah ditempatkan pada ruang atau fasilitas penyimpanan yang hanya dapat dimasuki oleh petugas yang memiliki kewenangan</w:t>
      </w:r>
      <w:r w:rsidRPr="009B3C1B">
        <w:rPr>
          <w:color w:val="000000"/>
          <w:lang w:val="id-ID"/>
        </w:rPr>
        <w:t>.</w:t>
      </w:r>
    </w:p>
    <w:p w:rsidR="009B3C1B" w:rsidRPr="009B3C1B" w:rsidRDefault="009B3C1B" w:rsidP="009B3C1B">
      <w:pPr>
        <w:numPr>
          <w:ilvl w:val="0"/>
          <w:numId w:val="8"/>
        </w:numPr>
        <w:spacing w:line="480" w:lineRule="auto"/>
        <w:ind w:left="284" w:hanging="284"/>
        <w:jc w:val="both"/>
        <w:rPr>
          <w:color w:val="000000"/>
          <w:lang w:val="id-ID"/>
        </w:rPr>
      </w:pPr>
      <w:r w:rsidRPr="009B3C1B">
        <w:rPr>
          <w:color w:val="000000"/>
        </w:rPr>
        <w:t xml:space="preserve">Penyimpanan dilakukan menggunakan </w:t>
      </w:r>
      <w:r w:rsidRPr="009B3C1B">
        <w:rPr>
          <w:i/>
          <w:iCs/>
          <w:color w:val="000000"/>
        </w:rPr>
        <w:t>blood bank refrigerator</w:t>
      </w:r>
      <w:r w:rsidRPr="009B3C1B">
        <w:rPr>
          <w:color w:val="000000"/>
        </w:rPr>
        <w:t xml:space="preserve"> dengan rentang suhu yang telah ditetapkan</w:t>
      </w:r>
      <w:r w:rsidRPr="009B3C1B">
        <w:rPr>
          <w:color w:val="000000"/>
          <w:lang w:val="id-ID"/>
        </w:rPr>
        <w:t>.</w:t>
      </w:r>
    </w:p>
    <w:p w:rsidR="009B3C1B" w:rsidRPr="009B3C1B" w:rsidRDefault="009B3C1B" w:rsidP="009B3C1B">
      <w:pPr>
        <w:numPr>
          <w:ilvl w:val="0"/>
          <w:numId w:val="8"/>
        </w:numPr>
        <w:spacing w:line="480" w:lineRule="auto"/>
        <w:ind w:left="284" w:hanging="284"/>
        <w:jc w:val="both"/>
        <w:rPr>
          <w:color w:val="000000"/>
          <w:lang w:val="id-ID"/>
        </w:rPr>
      </w:pPr>
      <w:r w:rsidRPr="009B3C1B">
        <w:rPr>
          <w:color w:val="000000"/>
        </w:rPr>
        <w:t>Fasilitas penyimpanan dilengkapi perangkat pemantauan serta pencatatan suhu. Sensor dan termometer harus dikalibrasi sekurang-kurangnya satu kali dalam setahun dengan perbedaan hasil pengukuran terhadap alat standar tidak melebihi 1°C</w:t>
      </w:r>
      <w:r w:rsidRPr="009B3C1B">
        <w:rPr>
          <w:color w:val="000000"/>
          <w:lang w:val="id-ID"/>
        </w:rPr>
        <w:t>.</w:t>
      </w:r>
    </w:p>
    <w:p w:rsidR="009B3C1B" w:rsidRPr="009B3C1B" w:rsidRDefault="009B3C1B" w:rsidP="009B3C1B">
      <w:pPr>
        <w:numPr>
          <w:ilvl w:val="0"/>
          <w:numId w:val="8"/>
        </w:numPr>
        <w:spacing w:line="480" w:lineRule="auto"/>
        <w:ind w:left="284" w:hanging="284"/>
        <w:jc w:val="both"/>
        <w:rPr>
          <w:color w:val="000000"/>
          <w:lang w:val="id-ID"/>
        </w:rPr>
      </w:pPr>
      <w:r w:rsidRPr="009B3C1B">
        <w:rPr>
          <w:color w:val="000000"/>
        </w:rPr>
        <w:lastRenderedPageBreak/>
        <w:t>Refrigerator harus dilengkapi alarm untuk mendeteksi perubahan suhu, termasuk saat terjadi pemadaman listrik. Fungsi alarm perlu diperiksa dan didokumentasikan secara berkala</w:t>
      </w:r>
      <w:r w:rsidRPr="009B3C1B">
        <w:rPr>
          <w:color w:val="000000"/>
          <w:lang w:val="id-ID"/>
        </w:rPr>
        <w:t>.</w:t>
      </w:r>
    </w:p>
    <w:p w:rsidR="009B3C1B" w:rsidRPr="009B3C1B" w:rsidRDefault="009B3C1B" w:rsidP="009B3C1B">
      <w:pPr>
        <w:numPr>
          <w:ilvl w:val="0"/>
          <w:numId w:val="8"/>
        </w:numPr>
        <w:spacing w:line="480" w:lineRule="auto"/>
        <w:ind w:left="284" w:hanging="284"/>
        <w:jc w:val="both"/>
        <w:rPr>
          <w:color w:val="000000"/>
          <w:lang w:val="id-ID"/>
        </w:rPr>
      </w:pPr>
      <w:r w:rsidRPr="009B3C1B">
        <w:rPr>
          <w:color w:val="000000"/>
        </w:rPr>
        <w:t>Darah donor disimpan pada suhu 2–6°C untuk memperlambat glikolisis sehingga kualitas dan fungsi komponen darah tetap terjaga</w:t>
      </w:r>
      <w:r w:rsidRPr="009B3C1B">
        <w:rPr>
          <w:color w:val="000000"/>
          <w:lang w:val="id-ID"/>
        </w:rPr>
        <w:t xml:space="preserve"> (Permenkes RI, 2022).</w:t>
      </w:r>
    </w:p>
    <w:p w:rsidR="009B3C1B" w:rsidRPr="009B3C1B" w:rsidRDefault="009B3C1B" w:rsidP="009B3C1B">
      <w:pPr>
        <w:spacing w:line="480" w:lineRule="auto"/>
        <w:ind w:firstLine="567"/>
        <w:jc w:val="both"/>
        <w:rPr>
          <w:color w:val="000000"/>
          <w:lang w:val="id-ID"/>
        </w:rPr>
      </w:pPr>
      <w:r w:rsidRPr="009B3C1B">
        <w:rPr>
          <w:color w:val="000000"/>
          <w:lang w:val="id-ID"/>
        </w:rPr>
        <w:tab/>
      </w:r>
      <w:r w:rsidRPr="009B3C1B">
        <w:rPr>
          <w:color w:val="000000"/>
        </w:rPr>
        <w:t xml:space="preserve">Selain penyimpanan, mutu darah perlu dipastikan melalui </w:t>
      </w:r>
      <w:r w:rsidRPr="009B3C1B">
        <w:rPr>
          <w:i/>
          <w:iCs/>
          <w:color w:val="000000"/>
        </w:rPr>
        <w:t>quality control</w:t>
      </w:r>
      <w:r w:rsidRPr="009B3C1B">
        <w:rPr>
          <w:color w:val="000000"/>
        </w:rPr>
        <w:t>. Berdasarkan Permenkes No. 91 Tahun 2015, pemeriksaan PRC meliputi volume, kadar hemoglobin, hematokrit, kontaminasi bakteri, dan IMLTD. Pemeriksaan dilakukan secara berkala pada minimal 4 kantong darah setiap bulan</w:t>
      </w:r>
      <w:r w:rsidRPr="009B3C1B">
        <w:rPr>
          <w:color w:val="000000"/>
          <w:lang w:val="id-ID"/>
        </w:rPr>
        <w:t>.</w:t>
      </w:r>
    </w:p>
    <w:p w:rsidR="009B3C1B" w:rsidRPr="009B3C1B" w:rsidRDefault="009B3C1B" w:rsidP="009B3C1B">
      <w:pPr>
        <w:numPr>
          <w:ilvl w:val="2"/>
          <w:numId w:val="10"/>
        </w:numPr>
        <w:spacing w:line="480" w:lineRule="auto"/>
        <w:ind w:left="567" w:hanging="567"/>
        <w:jc w:val="both"/>
        <w:outlineLvl w:val="2"/>
        <w:rPr>
          <w:b/>
          <w:bCs/>
          <w:color w:val="000000"/>
          <w:lang w:val="id-ID"/>
        </w:rPr>
      </w:pPr>
      <w:bookmarkStart w:id="14" w:name="_Toc215398936"/>
      <w:bookmarkStart w:id="15" w:name="_Toc225698522"/>
      <w:r w:rsidRPr="009B3C1B">
        <w:rPr>
          <w:b/>
          <w:bCs/>
          <w:color w:val="000000"/>
          <w:lang w:val="id-ID"/>
        </w:rPr>
        <w:t>Tranfusi Darah</w:t>
      </w:r>
      <w:bookmarkEnd w:id="14"/>
      <w:bookmarkEnd w:id="15"/>
    </w:p>
    <w:p w:rsidR="009B3C1B" w:rsidRPr="009B3C1B" w:rsidRDefault="009B3C1B" w:rsidP="009B3C1B">
      <w:pPr>
        <w:spacing w:line="480" w:lineRule="auto"/>
        <w:ind w:firstLine="567"/>
        <w:jc w:val="both"/>
        <w:rPr>
          <w:color w:val="000000"/>
          <w:lang w:val="id-ID"/>
        </w:rPr>
      </w:pPr>
      <w:r w:rsidRPr="009B3C1B">
        <w:rPr>
          <w:color w:val="000000"/>
        </w:rPr>
        <w:t xml:space="preserve">Transfusi darah menjadi bagian penting dalam pelayanan medis karena dapat diberikan kepada pasien yang mengalami perdarahan, menjalani tindakan pembedahan, berada dalam kondisi gawat darurat, maupun memiliki gangguan medis tertentu yang membutuhkan penggantian darah (Siregar, 2018). Pelaksanaan transfusi darah di Indonesia telah memiliki dasar hukum sejak diterbitkannya PP No. 18 Tahun 1980. Dalam peraturan tersebut, transfusi darah dipahami sebagai tindakan medis berupa pemberian darah kepada pasien dengan menggunakan darah yang telah disiapkan dalam botol atau kantong plastik. Seiring kemajuan ilmu pengetahuan dan teknologi di bidang pelayanan darah, praktik transfusi pun mengalami perubahan. Pemberian darah kini tidak hanya berupa </w:t>
      </w:r>
      <w:r w:rsidRPr="009B3C1B">
        <w:rPr>
          <w:i/>
          <w:iCs/>
          <w:color w:val="000000"/>
        </w:rPr>
        <w:t>whole blood</w:t>
      </w:r>
      <w:r w:rsidRPr="009B3C1B">
        <w:rPr>
          <w:color w:val="000000"/>
        </w:rPr>
        <w:t xml:space="preserve">, tetapi dapat disesuaikan dengan kebutuhan pasien melalui penggunaan komponen tertentu, seperti eritrosit, leukosit, trombosit, dan faktor pembekuan. Dengan </w:t>
      </w:r>
      <w:r w:rsidRPr="009B3C1B">
        <w:rPr>
          <w:color w:val="000000"/>
        </w:rPr>
        <w:lastRenderedPageBreak/>
        <w:t>demikian, transfusi darah pada dasarnya merupakan proses pemindahan darah maupun bagian-bagian darah dari donor kepada resipien</w:t>
      </w:r>
      <w:r w:rsidRPr="009B3C1B">
        <w:rPr>
          <w:color w:val="000000"/>
          <w:lang w:val="id-ID"/>
        </w:rPr>
        <w:t xml:space="preserve"> (Fridayenti </w:t>
      </w:r>
      <w:r w:rsidRPr="009B3C1B">
        <w:rPr>
          <w:i/>
          <w:iCs/>
          <w:color w:val="000000"/>
          <w:lang w:val="id-ID"/>
        </w:rPr>
        <w:t>et al</w:t>
      </w:r>
      <w:r w:rsidRPr="009B3C1B">
        <w:rPr>
          <w:color w:val="000000"/>
          <w:lang w:val="id-ID"/>
        </w:rPr>
        <w:t>, 2022).</w:t>
      </w:r>
    </w:p>
    <w:p w:rsidR="009B3C1B" w:rsidRPr="009B3C1B" w:rsidRDefault="009B3C1B" w:rsidP="009B3C1B">
      <w:pPr>
        <w:spacing w:line="480" w:lineRule="auto"/>
        <w:ind w:firstLine="567"/>
        <w:jc w:val="both"/>
        <w:rPr>
          <w:color w:val="000000"/>
          <w:lang w:val="id-ID"/>
        </w:rPr>
      </w:pPr>
      <w:r w:rsidRPr="009B3C1B">
        <w:rPr>
          <w:color w:val="000000"/>
        </w:rPr>
        <w:t xml:space="preserve">Dalam penerapannya, darah yang diberikan kepada pasien tidak selalu harus berupa darah utuh. Donor yang berada dalam kondisi sehat menyumbangkan darah yang kemudian dapat digunakan secara keseluruhan atau dipisahkan menjadi komponen tertentu sesuai kebutuhan klinis resipien. Pendekatan tersebut memungkinkan pasien memperoleh bagian darah yang memang mengalami kekurangan, misalnya pemberian trombosit pada pasien dengan jumlah trombosit rendah. Selain memenuhi kebutuhan komponen darah, transfusi juga berfungsi untuk menggantikan kehilangan darah akibat perdarahan maupun luka bakar, membantu penanganan kondisi </w:t>
      </w:r>
      <w:r w:rsidRPr="009B3C1B">
        <w:rPr>
          <w:i/>
          <w:iCs/>
          <w:color w:val="000000"/>
        </w:rPr>
        <w:t>shock</w:t>
      </w:r>
      <w:r w:rsidRPr="009B3C1B">
        <w:rPr>
          <w:color w:val="000000"/>
        </w:rPr>
        <w:t xml:space="preserve">, serta mendukung kemampuan tubuh dalam menghadapi infeksi </w:t>
      </w:r>
      <w:r w:rsidRPr="009B3C1B">
        <w:rPr>
          <w:color w:val="000000"/>
          <w:lang w:val="id-ID"/>
        </w:rPr>
        <w:t>(Rosidah, 2023).</w:t>
      </w:r>
    </w:p>
    <w:p w:rsidR="009B3C1B" w:rsidRPr="009B3C1B" w:rsidRDefault="009B3C1B" w:rsidP="009B3C1B">
      <w:pPr>
        <w:spacing w:line="480" w:lineRule="auto"/>
        <w:ind w:firstLine="567"/>
        <w:jc w:val="both"/>
        <w:rPr>
          <w:color w:val="000000"/>
          <w:lang w:val="id-ID"/>
        </w:rPr>
      </w:pPr>
      <w:r w:rsidRPr="009B3C1B">
        <w:rPr>
          <w:color w:val="000000"/>
        </w:rPr>
        <w:t>Penyelenggaraan pelayanan transfusi darah di Indonesia mengacu pada Peraturan Menteri Kesehatan Republik Indonesia No. 91 Tahun 2015 tentang Standar Pelayanan Transfusi Darah. Pelayanan tersebut dapat diselenggarakan oleh Unit Transfusi Darah (UTD) yang umumnya berada di bawah pengelolaan Palang Merah Indonesia (PMI), serta Unit Transfusi Darah Rumah Sakit (UTDRS) yang menjadi bagian dari fasilitas pelayanan kesehatan rumah sakit. Dalam pelaksanaannya, UTDRS memiliki peran dalam berbagai kegiatan yang berkaitan dengan darah, mulai dari pelayanan donor, penyediaan darah, hingga penyaluran darah kepada pasien yang membutuhkan</w:t>
      </w:r>
      <w:r w:rsidRPr="009B3C1B">
        <w:rPr>
          <w:color w:val="000000"/>
          <w:lang w:val="id-ID"/>
        </w:rPr>
        <w:t xml:space="preserve"> (Permenkes, 2015).</w:t>
      </w:r>
    </w:p>
    <w:p w:rsidR="009B3C1B" w:rsidRPr="009B3C1B" w:rsidRDefault="009B3C1B" w:rsidP="009B3C1B">
      <w:pPr>
        <w:spacing w:line="480" w:lineRule="auto"/>
        <w:ind w:firstLine="567"/>
        <w:jc w:val="both"/>
        <w:rPr>
          <w:color w:val="000000"/>
          <w:lang w:val="id-ID"/>
        </w:rPr>
      </w:pPr>
      <w:r w:rsidRPr="009B3C1B">
        <w:rPr>
          <w:color w:val="000000"/>
        </w:rPr>
        <w:t xml:space="preserve">Untuk menjamin keamanan darah yang diberikan kepada pasien, proses transfusi harus melalui serangkaian prosedur yang terstruktur. Kegiatan tersebut </w:t>
      </w:r>
      <w:r w:rsidRPr="009B3C1B">
        <w:rPr>
          <w:color w:val="000000"/>
        </w:rPr>
        <w:lastRenderedPageBreak/>
        <w:t>diawali dengan perekrutan dan seleksi calon donor untuk memastikan bahwa donor memenuhi kriteria kesehatan yang ditetapkan. Setelah dinyatakan memenuhi syarat, darah diambil sesuai prosedur dan selanjutnya menjalani pemeriksaan golongan darah, skrining Infeksi Menular Lewat Transfusi Darah (IMLTD), serta pemeriksaan antibodi donor. Darah juga dapat dipisahkan menjadi komponen apabila kebutuhan pelayanan mengharuskannya. Selanjutnya, darah yang telah memenuhi persyaratan disimpan dalam kondisi dan suhu yang sesuai di UTD rumah sakit. Ketika terdapat permintaan transfusi, dilakukan pemeriksaan kompatibilitas melalui uji silang serasi dan skrining antibodi pada pasien. Darah hanya dapat diberikan apabila hasil pemeriksaan menunjukkan kesesuaian antara donor dan resipien. Selama hingga setelah transfusi berlangsung, kondisi pasien perlu dipantau untuk mendeteksi kemungkinan reaksi transfusi. Selain itu, penyelenggara pelayanan juga berkewajiban melakukan evaluasi terhadap proses transfusi secara berkala guna menjaga mutu dan keamanan pelayanan</w:t>
      </w:r>
      <w:r w:rsidRPr="009B3C1B">
        <w:rPr>
          <w:color w:val="000000"/>
          <w:lang w:val="id-ID"/>
        </w:rPr>
        <w:t xml:space="preserve"> (Permenkes, 2015). </w:t>
      </w:r>
    </w:p>
    <w:p w:rsidR="009B3C1B" w:rsidRPr="009B3C1B" w:rsidRDefault="009B3C1B" w:rsidP="009B3C1B">
      <w:pPr>
        <w:spacing w:line="480" w:lineRule="auto"/>
        <w:ind w:firstLine="567"/>
        <w:jc w:val="both"/>
        <w:rPr>
          <w:color w:val="000000"/>
          <w:lang w:val="id-ID"/>
        </w:rPr>
      </w:pPr>
      <w:r w:rsidRPr="009B3C1B">
        <w:rPr>
          <w:color w:val="000000"/>
        </w:rPr>
        <w:t xml:space="preserve">Kemajuan teknologi dalam pengolahan darah selanjutnya memungkinkan satu unit darah dipisahkan menjadi beberapa komponen yang memiliki fungsi dan indikasi penggunaan berbeda. Pemanfaatan komponen darah secara spesifik memberikan keuntungan dalam pengelolaan persediaan darah karena satu donor dapat membantu memenuhi kebutuhan beberapa pasien sekaligus. Pemberian komponen yang sesuai dengan kondisi klinis pasien juga dapat membantu menekan kemungkinan terjadinya reaksi yang tidak diharapkan setelah transfusi. Beberapa produk darah yang dapat diperoleh melalui proses tersebut meliputi </w:t>
      </w:r>
      <w:r w:rsidRPr="009B3C1B">
        <w:rPr>
          <w:i/>
          <w:iCs/>
          <w:color w:val="000000"/>
        </w:rPr>
        <w:t xml:space="preserve">packed red </w:t>
      </w:r>
      <w:r w:rsidRPr="009B3C1B">
        <w:rPr>
          <w:i/>
          <w:iCs/>
          <w:color w:val="000000"/>
        </w:rPr>
        <w:lastRenderedPageBreak/>
        <w:t>cells</w:t>
      </w:r>
      <w:r w:rsidRPr="009B3C1B">
        <w:rPr>
          <w:color w:val="000000"/>
        </w:rPr>
        <w:t xml:space="preserve"> (PRC), </w:t>
      </w:r>
      <w:r w:rsidRPr="009B3C1B">
        <w:rPr>
          <w:i/>
          <w:iCs/>
          <w:color w:val="000000"/>
        </w:rPr>
        <w:t>leukodepleted packed red cells</w:t>
      </w:r>
      <w:r w:rsidRPr="009B3C1B">
        <w:rPr>
          <w:color w:val="000000"/>
        </w:rPr>
        <w:t xml:space="preserve"> (LD-PRC), trombosit konsentrat, plasma segar beku atau </w:t>
      </w:r>
      <w:r w:rsidRPr="009B3C1B">
        <w:rPr>
          <w:i/>
          <w:iCs/>
          <w:color w:val="000000"/>
        </w:rPr>
        <w:t>fresh frozen plasma</w:t>
      </w:r>
      <w:r w:rsidRPr="009B3C1B">
        <w:rPr>
          <w:color w:val="000000"/>
        </w:rPr>
        <w:t xml:space="preserve"> (FFP), serta granulosit atau </w:t>
      </w:r>
      <w:r w:rsidRPr="009B3C1B">
        <w:rPr>
          <w:i/>
          <w:iCs/>
          <w:color w:val="000000"/>
        </w:rPr>
        <w:t>buffy coat</w:t>
      </w:r>
      <w:r w:rsidRPr="009B3C1B">
        <w:rPr>
          <w:color w:val="000000"/>
          <w:lang w:val="id-ID"/>
        </w:rPr>
        <w:t xml:space="preserve"> (Napitu, 2017).</w:t>
      </w:r>
    </w:p>
    <w:p w:rsidR="009B3C1B" w:rsidRPr="009B3C1B" w:rsidRDefault="009B3C1B" w:rsidP="009B3C1B">
      <w:pPr>
        <w:numPr>
          <w:ilvl w:val="2"/>
          <w:numId w:val="10"/>
        </w:numPr>
        <w:spacing w:line="480" w:lineRule="auto"/>
        <w:ind w:left="567" w:hanging="567"/>
        <w:jc w:val="both"/>
        <w:outlineLvl w:val="2"/>
        <w:rPr>
          <w:b/>
          <w:bCs/>
          <w:color w:val="000000"/>
          <w:lang w:val="id-ID"/>
        </w:rPr>
      </w:pPr>
      <w:bookmarkStart w:id="16" w:name="_Toc215398937"/>
      <w:bookmarkStart w:id="17" w:name="_Toc225698523"/>
      <w:r w:rsidRPr="009B3C1B">
        <w:rPr>
          <w:b/>
          <w:bCs/>
          <w:color w:val="000000"/>
          <w:lang w:val="id-ID"/>
        </w:rPr>
        <w:t>Komponen Darah</w:t>
      </w:r>
      <w:bookmarkEnd w:id="16"/>
      <w:bookmarkEnd w:id="17"/>
    </w:p>
    <w:p w:rsidR="009B3C1B" w:rsidRPr="009B3C1B" w:rsidRDefault="009B3C1B" w:rsidP="009B3C1B">
      <w:pPr>
        <w:numPr>
          <w:ilvl w:val="0"/>
          <w:numId w:val="9"/>
        </w:numPr>
        <w:spacing w:line="480" w:lineRule="auto"/>
        <w:ind w:left="284" w:hanging="283"/>
        <w:jc w:val="both"/>
        <w:rPr>
          <w:color w:val="000000"/>
          <w:lang w:val="id-ID"/>
        </w:rPr>
      </w:pPr>
      <w:r w:rsidRPr="009B3C1B">
        <w:rPr>
          <w:color w:val="000000"/>
          <w:lang w:val="id-ID"/>
        </w:rPr>
        <w:t xml:space="preserve">Darah Lengkap / </w:t>
      </w:r>
      <w:r w:rsidRPr="009B3C1B">
        <w:rPr>
          <w:i/>
          <w:iCs/>
          <w:color w:val="000000"/>
          <w:lang w:val="id-ID"/>
        </w:rPr>
        <w:t>Whole Blood</w:t>
      </w:r>
      <w:r w:rsidRPr="009B3C1B">
        <w:rPr>
          <w:color w:val="000000"/>
          <w:lang w:val="id-ID"/>
        </w:rPr>
        <w:t xml:space="preserve"> (WB)</w:t>
      </w:r>
    </w:p>
    <w:p w:rsidR="009B3C1B" w:rsidRPr="009B3C1B" w:rsidRDefault="009B3C1B" w:rsidP="009B3C1B">
      <w:pPr>
        <w:spacing w:line="480" w:lineRule="auto"/>
        <w:ind w:left="284" w:firstLine="567"/>
        <w:jc w:val="both"/>
        <w:rPr>
          <w:color w:val="000000"/>
          <w:lang w:val="id-ID"/>
        </w:rPr>
      </w:pPr>
      <w:r w:rsidRPr="009B3C1B">
        <w:rPr>
          <w:i/>
          <w:iCs/>
          <w:color w:val="000000"/>
        </w:rPr>
        <w:t>Whole blood</w:t>
      </w:r>
      <w:r w:rsidRPr="009B3C1B">
        <w:rPr>
          <w:color w:val="000000"/>
        </w:rPr>
        <w:t xml:space="preserve"> (WB) merupakan darah yang masih mengandung seluruh komponen penyusunnya, yaitu eritrosit, leukosit, trombosit, dan plasma sebagai bagian cairnya. Komponen ini memiliki kadar hematokrit sekitar 36–44% dan umumnya disimpan pada suhu 2–4°C (Fridayenti </w:t>
      </w:r>
      <w:r w:rsidRPr="009B3C1B">
        <w:rPr>
          <w:i/>
          <w:iCs/>
          <w:color w:val="000000"/>
        </w:rPr>
        <w:t>et al</w:t>
      </w:r>
      <w:r w:rsidRPr="009B3C1B">
        <w:rPr>
          <w:color w:val="000000"/>
        </w:rPr>
        <w:t xml:space="preserve">., 2022). Penggunaan WB terutama ditujukan bagi pasien yang membutuhkan penggantian darah secara cepat akibat kehilangan darah dalam jumlah besar. Kondisi tersebut dapat ditemukan pada kasus trauma berat, termasuk kecelakaan lalu lintas yang menyebabkan kehilangan lebih dari 30% volume darah tubuh (Subekti </w:t>
      </w:r>
      <w:r w:rsidRPr="009B3C1B">
        <w:rPr>
          <w:i/>
          <w:iCs/>
          <w:color w:val="000000"/>
        </w:rPr>
        <w:t>et al</w:t>
      </w:r>
      <w:r w:rsidRPr="009B3C1B">
        <w:rPr>
          <w:color w:val="000000"/>
        </w:rPr>
        <w:t>., 2020)</w:t>
      </w:r>
      <w:r w:rsidRPr="009B3C1B">
        <w:rPr>
          <w:color w:val="000000"/>
          <w:lang w:val="id-ID"/>
        </w:rPr>
        <w:t>.</w:t>
      </w:r>
    </w:p>
    <w:p w:rsidR="009B3C1B" w:rsidRPr="009B3C1B" w:rsidRDefault="009B3C1B" w:rsidP="009B3C1B">
      <w:pPr>
        <w:numPr>
          <w:ilvl w:val="0"/>
          <w:numId w:val="9"/>
        </w:numPr>
        <w:spacing w:line="480" w:lineRule="auto"/>
        <w:ind w:left="284" w:hanging="283"/>
        <w:jc w:val="both"/>
        <w:rPr>
          <w:color w:val="000000"/>
          <w:lang w:val="id-ID"/>
        </w:rPr>
      </w:pPr>
      <w:r w:rsidRPr="009B3C1B">
        <w:rPr>
          <w:color w:val="000000"/>
          <w:lang w:val="id-ID"/>
        </w:rPr>
        <w:t xml:space="preserve">Sel Darah Merah Pekat / </w:t>
      </w:r>
      <w:r w:rsidRPr="009B3C1B">
        <w:rPr>
          <w:i/>
          <w:iCs/>
          <w:color w:val="000000"/>
          <w:lang w:val="id-ID"/>
        </w:rPr>
        <w:t>Packed Red Cells</w:t>
      </w:r>
      <w:r w:rsidRPr="009B3C1B">
        <w:rPr>
          <w:color w:val="000000"/>
          <w:lang w:val="id-ID"/>
        </w:rPr>
        <w:t xml:space="preserve"> (PRC)</w:t>
      </w:r>
    </w:p>
    <w:p w:rsidR="009B3C1B" w:rsidRPr="009B3C1B" w:rsidRDefault="009B3C1B" w:rsidP="009B3C1B">
      <w:pPr>
        <w:spacing w:line="480" w:lineRule="auto"/>
        <w:ind w:left="284" w:firstLine="567"/>
        <w:jc w:val="both"/>
        <w:rPr>
          <w:color w:val="000000"/>
          <w:lang w:val="id-ID"/>
        </w:rPr>
      </w:pPr>
      <w:r w:rsidRPr="009B3C1B">
        <w:rPr>
          <w:iCs/>
          <w:color w:val="000000"/>
        </w:rPr>
        <w:t xml:space="preserve">Berbeda dengan WB, </w:t>
      </w:r>
      <w:r w:rsidRPr="009B3C1B">
        <w:rPr>
          <w:i/>
          <w:iCs/>
          <w:color w:val="000000"/>
        </w:rPr>
        <w:t>packed red cells</w:t>
      </w:r>
      <w:r w:rsidRPr="009B3C1B">
        <w:rPr>
          <w:iCs/>
          <w:color w:val="000000"/>
        </w:rPr>
        <w:t xml:space="preserve"> (PRC) merupakan komponen darah yang diperoleh melalui pemisahan sebagian besar plasma dari darah lengkap, biasanya dengan proses sentrifugasi (Saragih et al., 2019). Produk ini memiliki volume kurang lebih 200–250 mL dengan kadar hematokrit sekitar 55–75% (Hanifah, 2022). PRC terutama diberikan kepada pasien yang mengalami anemia disertai tanda hipoksia jaringan, karena transfusi tersebut bertujuan meningkatkan kemampuan darah dalam membawa oksigen ke jaringan tubuh (Handayani, 2020). Oleh sebab itu, penggunaannya banyak dijumpai pada </w:t>
      </w:r>
      <w:r w:rsidRPr="009B3C1B">
        <w:rPr>
          <w:iCs/>
          <w:color w:val="000000"/>
        </w:rPr>
        <w:lastRenderedPageBreak/>
        <w:t>berbagai kondisi anemia tanpa kehilangan volume darah yang signifikan, seperti anemia hemolitik, anemia hipoplastik kronis, leukemia akut maupun kronis, keganasan, talasemia, dan gagal ginjal</w:t>
      </w:r>
      <w:r w:rsidRPr="009B3C1B">
        <w:rPr>
          <w:color w:val="000000"/>
          <w:lang w:val="id-ID"/>
        </w:rPr>
        <w:t xml:space="preserve"> (Kamilah &amp; Widyaningrum, 2019).</w:t>
      </w:r>
    </w:p>
    <w:p w:rsidR="009B3C1B" w:rsidRPr="009B3C1B" w:rsidRDefault="009B3C1B" w:rsidP="009B3C1B">
      <w:pPr>
        <w:spacing w:line="480" w:lineRule="auto"/>
        <w:ind w:left="284" w:firstLine="567"/>
        <w:jc w:val="both"/>
        <w:rPr>
          <w:color w:val="000000"/>
          <w:lang w:val="id-ID"/>
        </w:rPr>
      </w:pPr>
      <w:r w:rsidRPr="009B3C1B">
        <w:rPr>
          <w:color w:val="000000"/>
        </w:rPr>
        <w:t>Pemberian PRC juga dapat memberikan peningkatan parameter hematologi setelah transfusi. Pada orang dewasa, satu kantong PRC umumnya dapat meningkatkan kadar hemoglobin sekitar 1 g/dL dan hematokrit sekitar 3%. Sementara itu, pada pasien anak, pemberian PRC dengan dosis 3 mL/kg berat badan diperkirakan memberikan peningkatan hemoglobin sekitar 1 g/dL dan hematokrit sebesar 3% (Lee &amp; Ness, 2015). Meskipun memiliki manfaat tersebut, transfusi PRC tetap dapat menimbulkan reaksi yang tidak diharapkan. Reaksi transfusi dapat berupa keluhan ringan seperti pruritus dan kemerahan pada kulit hingga manifestasi yang lebih berat, seperti demam dan gangguan fungsi organ (Handayani, 2020). Kondisi tersebut dapat terjadi karena PRC masih memungkinkan mengandung leukosit dan trombosit yang dapat memicu respons imun melalui antibodi terhadap kedua jenis sel tersebut (Surahman, 2021). Atas dasar itu, pada pasien tertentu yang memiliki risiko tinggi, leukosit pada PRC dapat dikurangi melalui proses leukoreduksi untuk menekan kemungkinan terjadinya reaksi setelah transfusi (Hanifah, 2022)</w:t>
      </w:r>
      <w:r w:rsidRPr="009B3C1B">
        <w:rPr>
          <w:color w:val="000000"/>
          <w:lang w:val="id-ID"/>
        </w:rPr>
        <w:t>.</w:t>
      </w:r>
    </w:p>
    <w:p w:rsidR="009B3C1B" w:rsidRPr="009B3C1B" w:rsidRDefault="009B3C1B" w:rsidP="009B3C1B">
      <w:pPr>
        <w:numPr>
          <w:ilvl w:val="0"/>
          <w:numId w:val="9"/>
        </w:numPr>
        <w:spacing w:line="480" w:lineRule="auto"/>
        <w:ind w:left="284" w:hanging="283"/>
        <w:jc w:val="both"/>
        <w:rPr>
          <w:color w:val="000000"/>
          <w:lang w:val="id-ID"/>
        </w:rPr>
      </w:pPr>
      <w:r w:rsidRPr="009B3C1B">
        <w:rPr>
          <w:color w:val="000000"/>
          <w:lang w:val="id-ID"/>
        </w:rPr>
        <w:t xml:space="preserve">Konsentrat Trombosit / </w:t>
      </w:r>
      <w:r w:rsidRPr="009B3C1B">
        <w:rPr>
          <w:i/>
          <w:iCs/>
          <w:color w:val="000000"/>
          <w:lang w:val="id-ID"/>
        </w:rPr>
        <w:t>Thrombocyte Concentrate</w:t>
      </w:r>
      <w:r w:rsidRPr="009B3C1B">
        <w:rPr>
          <w:color w:val="000000"/>
          <w:lang w:val="id-ID"/>
        </w:rPr>
        <w:t xml:space="preserve"> (TC)</w:t>
      </w:r>
    </w:p>
    <w:p w:rsidR="009B3C1B" w:rsidRPr="009B3C1B" w:rsidRDefault="009B3C1B" w:rsidP="009B3C1B">
      <w:pPr>
        <w:spacing w:line="480" w:lineRule="auto"/>
        <w:ind w:left="284" w:firstLine="567"/>
        <w:jc w:val="both"/>
        <w:rPr>
          <w:color w:val="000000"/>
          <w:lang w:val="id-ID"/>
        </w:rPr>
      </w:pPr>
      <w:r w:rsidRPr="009B3C1B">
        <w:rPr>
          <w:color w:val="000000"/>
        </w:rPr>
        <w:t xml:space="preserve">Komponen darah berikutnya adalah </w:t>
      </w:r>
      <w:r w:rsidRPr="009B3C1B">
        <w:rPr>
          <w:i/>
          <w:iCs/>
          <w:color w:val="000000"/>
        </w:rPr>
        <w:t>thrombocyte concentrate</w:t>
      </w:r>
      <w:r w:rsidRPr="009B3C1B">
        <w:rPr>
          <w:color w:val="000000"/>
        </w:rPr>
        <w:t xml:space="preserve"> (TC) yang memiliki trombosit sebagai kandungan utamanya. TC umumnya tersedia dalam volume sekitar 50 mL dan disimpan pada suhu 20–24°C. Lama penyimpanan berkisar tiga hari tanpa agitasi dan dapat mencapai lima hari apabila disertai </w:t>
      </w:r>
      <w:r w:rsidRPr="009B3C1B">
        <w:rPr>
          <w:color w:val="000000"/>
        </w:rPr>
        <w:lastRenderedPageBreak/>
        <w:t>agitasi. Pemberian komponen ini bertujuan meningkatkan jumlah trombosit pada pasien, dengan kenaikan pascatransfusi pada orang dewasa umumnya sekitar 5.000–10.000/µL. Dengan demikian, penggunaan TC terutama ditujukan pada pasien yang mengalami trombositopenia dan menunjukkan gejala akibat rendahnya jumlah trombosit</w:t>
      </w:r>
      <w:r w:rsidRPr="009B3C1B">
        <w:rPr>
          <w:color w:val="000000"/>
          <w:lang w:val="id-ID"/>
        </w:rPr>
        <w:t>.</w:t>
      </w:r>
    </w:p>
    <w:p w:rsidR="009B3C1B" w:rsidRPr="009B3C1B" w:rsidRDefault="009B3C1B" w:rsidP="009B3C1B">
      <w:pPr>
        <w:numPr>
          <w:ilvl w:val="0"/>
          <w:numId w:val="9"/>
        </w:numPr>
        <w:spacing w:line="480" w:lineRule="auto"/>
        <w:ind w:left="284" w:hanging="283"/>
        <w:jc w:val="both"/>
        <w:rPr>
          <w:color w:val="000000"/>
          <w:lang w:val="id-ID"/>
        </w:rPr>
      </w:pPr>
      <w:r w:rsidRPr="009B3C1B">
        <w:rPr>
          <w:color w:val="000000"/>
          <w:lang w:val="id-ID"/>
        </w:rPr>
        <w:t xml:space="preserve">Plasma Segar Beku / </w:t>
      </w:r>
      <w:r w:rsidRPr="009B3C1B">
        <w:rPr>
          <w:i/>
          <w:iCs/>
          <w:color w:val="000000"/>
          <w:lang w:val="id-ID"/>
        </w:rPr>
        <w:t xml:space="preserve">Fresh Frozen Plasma </w:t>
      </w:r>
      <w:r w:rsidRPr="009B3C1B">
        <w:rPr>
          <w:color w:val="000000"/>
          <w:lang w:val="id-ID"/>
        </w:rPr>
        <w:t>(FFP)</w:t>
      </w:r>
    </w:p>
    <w:p w:rsidR="009B3C1B" w:rsidRPr="009B3C1B" w:rsidRDefault="009B3C1B" w:rsidP="009B3C1B">
      <w:pPr>
        <w:spacing w:line="480" w:lineRule="auto"/>
        <w:ind w:left="284" w:firstLine="567"/>
        <w:jc w:val="both"/>
        <w:rPr>
          <w:color w:val="000000"/>
          <w:lang w:val="id-ID"/>
        </w:rPr>
      </w:pPr>
      <w:r w:rsidRPr="009B3C1B">
        <w:rPr>
          <w:i/>
          <w:iCs/>
          <w:color w:val="000000"/>
        </w:rPr>
        <w:t>Fresh Frozen Plasma</w:t>
      </w:r>
      <w:r w:rsidRPr="009B3C1B">
        <w:rPr>
          <w:color w:val="000000"/>
        </w:rPr>
        <w:t xml:space="preserve"> (FFP) mengandung plasma, protein plasma, serta faktor pembekuan V dan VIII. Komponen ini bervolume sekitar 150–220 mL, disimpan pada suhu -18°C hingga satu tahun, dan digunakan dalam waktu enam jam setelah dicairkan. FFP diberikan terutama pada pasien dengan defisiensi faktor pembekuan dan gangguan hemostasis, termasuk dalam transfusi tukar bayi baru lahir</w:t>
      </w:r>
      <w:r w:rsidRPr="009B3C1B">
        <w:rPr>
          <w:color w:val="000000"/>
          <w:lang w:val="id-ID"/>
        </w:rPr>
        <w:t xml:space="preserve"> (Noviar, 2018).</w:t>
      </w:r>
    </w:p>
    <w:p w:rsidR="009B3C1B" w:rsidRPr="009B3C1B" w:rsidRDefault="009B3C1B" w:rsidP="009B3C1B">
      <w:pPr>
        <w:numPr>
          <w:ilvl w:val="0"/>
          <w:numId w:val="9"/>
        </w:numPr>
        <w:spacing w:line="480" w:lineRule="auto"/>
        <w:ind w:left="284" w:hanging="283"/>
        <w:jc w:val="both"/>
        <w:rPr>
          <w:color w:val="000000"/>
          <w:lang w:val="id-ID"/>
        </w:rPr>
      </w:pPr>
      <w:r w:rsidRPr="009B3C1B">
        <w:rPr>
          <w:color w:val="000000"/>
          <w:lang w:val="id-ID"/>
        </w:rPr>
        <w:br w:type="page"/>
      </w:r>
      <w:r w:rsidRPr="009B3C1B">
        <w:rPr>
          <w:color w:val="000000"/>
          <w:lang w:val="id-ID"/>
        </w:rPr>
        <w:lastRenderedPageBreak/>
        <w:t xml:space="preserve">Kriopresipitat / </w:t>
      </w:r>
      <w:r w:rsidRPr="009B3C1B">
        <w:rPr>
          <w:i/>
          <w:iCs/>
          <w:color w:val="000000"/>
          <w:lang w:val="id-ID"/>
        </w:rPr>
        <w:t xml:space="preserve">Cryopresipitat Anti Hemolytic Factor </w:t>
      </w:r>
      <w:r w:rsidRPr="009B3C1B">
        <w:rPr>
          <w:color w:val="000000"/>
          <w:lang w:val="id-ID"/>
        </w:rPr>
        <w:t xml:space="preserve">(AHF) </w:t>
      </w:r>
    </w:p>
    <w:p w:rsidR="009B3C1B" w:rsidRPr="009B3C1B" w:rsidRDefault="009B3C1B" w:rsidP="009B3C1B">
      <w:pPr>
        <w:spacing w:line="480" w:lineRule="auto"/>
        <w:ind w:left="284" w:firstLine="567"/>
        <w:jc w:val="both"/>
        <w:rPr>
          <w:color w:val="000000"/>
          <w:lang w:val="id-ID"/>
        </w:rPr>
      </w:pPr>
      <w:r w:rsidRPr="009B3C1B">
        <w:rPr>
          <w:color w:val="000000"/>
        </w:rPr>
        <w:t xml:space="preserve">Kriopresipitat atau </w:t>
      </w:r>
      <w:r w:rsidRPr="009B3C1B">
        <w:rPr>
          <w:i/>
          <w:iCs/>
          <w:color w:val="000000"/>
        </w:rPr>
        <w:t>Anti Hemolytic Factor</w:t>
      </w:r>
      <w:r w:rsidRPr="009B3C1B">
        <w:rPr>
          <w:color w:val="000000"/>
        </w:rPr>
        <w:t xml:space="preserve"> (AHF) adalah komponen plasma yang kaya akan faktor pembekuan, terutama faktor VIII, faktor XIII, dan faktor </w:t>
      </w:r>
      <w:r w:rsidRPr="009B3C1B">
        <w:rPr>
          <w:i/>
          <w:color w:val="000000"/>
        </w:rPr>
        <w:t>von Willebrand</w:t>
      </w:r>
      <w:r w:rsidRPr="009B3C1B">
        <w:rPr>
          <w:color w:val="000000"/>
        </w:rPr>
        <w:t>. Komponen ini umumnya memiliki volume sekitar 50 mL serta disimpan pada suhu -18°C hingga satu tahun. AHF terutama diberikan pada kondisi perdarahan berat yang berisiko mengancam kehidupan pasien dan membutuhkan penggantian faktor pembekuan secara cepat</w:t>
      </w:r>
      <w:r w:rsidRPr="009B3C1B">
        <w:rPr>
          <w:color w:val="000000"/>
          <w:lang w:val="id-ID"/>
        </w:rPr>
        <w:t xml:space="preserve"> </w:t>
      </w:r>
      <w:r w:rsidRPr="009B3C1B">
        <w:rPr>
          <w:color w:val="000000"/>
          <w:szCs w:val="18"/>
          <w:lang w:val="id-ID"/>
        </w:rPr>
        <w:t>(Esmeralda &amp; Chozie, 2015)</w:t>
      </w:r>
      <w:r w:rsidRPr="009B3C1B">
        <w:rPr>
          <w:color w:val="000000"/>
          <w:lang w:val="id-ID"/>
        </w:rPr>
        <w:t>.</w:t>
      </w:r>
    </w:p>
    <w:p w:rsidR="009B3C1B" w:rsidRPr="009B3C1B" w:rsidRDefault="009B3C1B" w:rsidP="009B3C1B">
      <w:pPr>
        <w:numPr>
          <w:ilvl w:val="2"/>
          <w:numId w:val="10"/>
        </w:numPr>
        <w:spacing w:line="480" w:lineRule="auto"/>
        <w:ind w:left="567" w:hanging="567"/>
        <w:jc w:val="both"/>
        <w:rPr>
          <w:b/>
          <w:bCs/>
          <w:color w:val="000000"/>
          <w:lang w:val="id-ID"/>
        </w:rPr>
      </w:pPr>
      <w:r w:rsidRPr="009B3C1B">
        <w:rPr>
          <w:b/>
          <w:bCs/>
          <w:color w:val="000000"/>
          <w:lang w:val="id-ID"/>
        </w:rPr>
        <w:t xml:space="preserve">Bank darah </w:t>
      </w:r>
    </w:p>
    <w:p w:rsidR="009B3C1B" w:rsidRPr="009B3C1B" w:rsidRDefault="009B3C1B" w:rsidP="009B3C1B">
      <w:pPr>
        <w:spacing w:line="480" w:lineRule="auto"/>
        <w:ind w:firstLine="567"/>
        <w:jc w:val="both"/>
        <w:rPr>
          <w:color w:val="000000"/>
          <w:lang w:val="id-ID"/>
        </w:rPr>
      </w:pPr>
      <w:r w:rsidRPr="009B3C1B">
        <w:rPr>
          <w:color w:val="000000"/>
          <w:lang w:val="id-ID"/>
        </w:rPr>
        <w:t xml:space="preserve">Bank darah </w:t>
      </w:r>
      <w:r w:rsidRPr="009B3C1B">
        <w:rPr>
          <w:color w:val="000000"/>
        </w:rPr>
        <w:t>ialah</w:t>
      </w:r>
      <w:r w:rsidRPr="009B3C1B">
        <w:rPr>
          <w:color w:val="000000"/>
          <w:lang w:val="id-ID"/>
        </w:rPr>
        <w:t xml:space="preserve"> unit penunjang medis di rumah sakit yang berfungsi menyediakan darah sesuai kebutuhan, serta melakukan pemeriksaan skrining dan uji kecocokan sebelum darah diberikan kepada pasien. Tujuannya adalah </w:t>
      </w:r>
      <w:r w:rsidRPr="009B3C1B">
        <w:rPr>
          <w:color w:val="000000"/>
        </w:rPr>
        <w:t>guna</w:t>
      </w:r>
      <w:r w:rsidRPr="009B3C1B">
        <w:rPr>
          <w:color w:val="000000"/>
          <w:lang w:val="id-ID"/>
        </w:rPr>
        <w:t xml:space="preserve"> memastikan </w:t>
      </w:r>
      <w:r w:rsidRPr="009B3C1B">
        <w:rPr>
          <w:color w:val="000000"/>
        </w:rPr>
        <w:t>bahwasanya</w:t>
      </w:r>
      <w:r w:rsidRPr="009B3C1B">
        <w:rPr>
          <w:color w:val="000000"/>
          <w:lang w:val="id-ID"/>
        </w:rPr>
        <w:t xml:space="preserve"> darah yang ditransfusikan aman dan </w:t>
      </w:r>
      <w:r w:rsidRPr="009B3C1B">
        <w:rPr>
          <w:color w:val="000000"/>
        </w:rPr>
        <w:t>terbebas</w:t>
      </w:r>
      <w:r w:rsidRPr="009B3C1B">
        <w:rPr>
          <w:color w:val="000000"/>
          <w:lang w:val="id-ID"/>
        </w:rPr>
        <w:t xml:space="preserve"> dari penyakit menular (Sari </w:t>
      </w:r>
      <w:r w:rsidRPr="009B3C1B">
        <w:rPr>
          <w:i/>
          <w:iCs/>
          <w:color w:val="000000"/>
          <w:lang w:val="id-ID"/>
        </w:rPr>
        <w:t>et al</w:t>
      </w:r>
      <w:r w:rsidRPr="009B3C1B">
        <w:rPr>
          <w:color w:val="000000"/>
          <w:lang w:val="id-ID"/>
        </w:rPr>
        <w:t>., 2020)</w:t>
      </w:r>
      <w:r w:rsidRPr="009B3C1B">
        <w:rPr>
          <w:color w:val="000000"/>
          <w:sz w:val="18"/>
          <w:szCs w:val="18"/>
          <w:lang w:val="id-ID"/>
        </w:rPr>
        <w:t>.</w:t>
      </w:r>
    </w:p>
    <w:p w:rsidR="009B3C1B" w:rsidRPr="009B3C1B" w:rsidRDefault="009B3C1B" w:rsidP="009B3C1B">
      <w:pPr>
        <w:spacing w:line="480" w:lineRule="auto"/>
        <w:ind w:firstLine="567"/>
        <w:jc w:val="both"/>
        <w:rPr>
          <w:b/>
          <w:bCs/>
          <w:color w:val="000000"/>
          <w:lang w:val="id-ID"/>
        </w:rPr>
      </w:pPr>
      <w:r w:rsidRPr="009B3C1B">
        <w:rPr>
          <w:color w:val="000000"/>
          <w:lang w:val="id-ID"/>
        </w:rPr>
        <w:t xml:space="preserve">Bank darah terdiri dari beberapa bagian yang saling berkaitan, mulai dari penerimaan dan pengambilan darah dari pendonor, pemeriksaan darah untuk memastikan keamanan dan kecocokan, hingga pengolahan darah menjadi berbagai komponen. Selanjutnya, darah disimpan sesuai standar dan didistribusikan sesuai kebutuhan pasien. Seluruh proses tersebut didukung oleh bagian administrasi yang bertugas mengelola data dan dokumentasi kegiatan bank darah (Sari </w:t>
      </w:r>
      <w:r w:rsidRPr="009B3C1B">
        <w:rPr>
          <w:i/>
          <w:iCs/>
          <w:color w:val="000000"/>
          <w:lang w:val="id-ID"/>
        </w:rPr>
        <w:t>et al</w:t>
      </w:r>
      <w:r w:rsidRPr="009B3C1B">
        <w:rPr>
          <w:color w:val="000000"/>
          <w:lang w:val="id-ID"/>
        </w:rPr>
        <w:t>., 2020).</w:t>
      </w:r>
    </w:p>
    <w:p w:rsidR="009B3C1B" w:rsidRPr="009B3C1B" w:rsidRDefault="009B3C1B" w:rsidP="009B3C1B">
      <w:pPr>
        <w:spacing w:line="480" w:lineRule="auto"/>
        <w:ind w:left="284" w:firstLine="567"/>
        <w:jc w:val="both"/>
        <w:rPr>
          <w:color w:val="000000"/>
          <w:lang w:val="id-ID"/>
        </w:rPr>
      </w:pPr>
    </w:p>
    <w:p w:rsidR="009B3C1B" w:rsidRPr="009B3C1B" w:rsidRDefault="009B3C1B" w:rsidP="009B3C1B">
      <w:pPr>
        <w:spacing w:line="480" w:lineRule="auto"/>
        <w:ind w:left="284" w:firstLine="567"/>
        <w:jc w:val="both"/>
        <w:rPr>
          <w:color w:val="000000"/>
          <w:lang w:val="id-ID"/>
        </w:rPr>
      </w:pPr>
    </w:p>
    <w:p w:rsidR="009B3C1B" w:rsidRPr="009B3C1B" w:rsidRDefault="009B3C1B" w:rsidP="009B3C1B">
      <w:pPr>
        <w:spacing w:line="480" w:lineRule="auto"/>
        <w:jc w:val="both"/>
        <w:rPr>
          <w:color w:val="000000"/>
          <w:lang w:val="id-ID"/>
        </w:rPr>
      </w:pPr>
    </w:p>
    <w:p w:rsidR="009B3C1B" w:rsidRPr="009B3C1B" w:rsidRDefault="009B3C1B" w:rsidP="009B3C1B">
      <w:pPr>
        <w:numPr>
          <w:ilvl w:val="1"/>
          <w:numId w:val="10"/>
        </w:numPr>
        <w:spacing w:line="480" w:lineRule="auto"/>
        <w:ind w:left="567" w:hanging="567"/>
        <w:jc w:val="both"/>
        <w:outlineLvl w:val="1"/>
        <w:rPr>
          <w:b/>
          <w:bCs/>
          <w:color w:val="000000"/>
          <w:lang w:val="id-ID"/>
        </w:rPr>
      </w:pPr>
      <w:bookmarkStart w:id="18" w:name="_Toc215398938"/>
      <w:r w:rsidRPr="009B3C1B">
        <w:rPr>
          <w:b/>
          <w:bCs/>
          <w:color w:val="000000"/>
          <w:lang w:val="id-ID"/>
        </w:rPr>
        <w:br w:type="page"/>
      </w:r>
      <w:bookmarkStart w:id="19" w:name="_Toc225698524"/>
      <w:r w:rsidRPr="009B3C1B">
        <w:rPr>
          <w:b/>
          <w:bCs/>
          <w:color w:val="000000"/>
          <w:lang w:val="id-ID"/>
        </w:rPr>
        <w:lastRenderedPageBreak/>
        <w:t>Kerangka Konsep</w:t>
      </w:r>
      <w:bookmarkEnd w:id="18"/>
      <w:bookmarkEnd w:id="19"/>
      <w:r w:rsidRPr="009B3C1B">
        <w:rPr>
          <w:b/>
          <w:bCs/>
          <w:color w:val="000000"/>
          <w:lang w:val="id-ID"/>
        </w:rPr>
        <w:t xml:space="preserve"> </w:t>
      </w:r>
    </w:p>
    <w:p w:rsidR="009B3C1B" w:rsidRPr="009B3C1B" w:rsidRDefault="009B3C1B" w:rsidP="009B3C1B">
      <w:pPr>
        <w:spacing w:line="480" w:lineRule="auto"/>
        <w:ind w:firstLine="567"/>
        <w:jc w:val="both"/>
      </w:pPr>
      <w:r w:rsidRPr="009B3C1B">
        <w:rPr>
          <w:lang w:val="id-ID"/>
        </w:rPr>
        <w:t xml:space="preserve">Kerangka Teori pada </w:t>
      </w:r>
      <w:r w:rsidRPr="009B3C1B">
        <w:t>studi</w:t>
      </w:r>
      <w:r w:rsidRPr="009B3C1B">
        <w:rPr>
          <w:lang w:val="id-ID"/>
        </w:rPr>
        <w:t xml:space="preserve"> ini </w:t>
      </w:r>
      <w:r w:rsidRPr="009B3C1B">
        <w:t>memiliki tujuan guna</w:t>
      </w:r>
      <w:r w:rsidRPr="009B3C1B">
        <w:rPr>
          <w:lang w:val="id-ID"/>
        </w:rPr>
        <w:t xml:space="preserve"> menggambarkan atau </w:t>
      </w:r>
      <w:r w:rsidRPr="009B3C1B">
        <w:t>menguraikan</w:t>
      </w:r>
      <w:r w:rsidRPr="009B3C1B">
        <w:rPr>
          <w:lang w:val="id-ID"/>
        </w:rPr>
        <w:t xml:space="preserve"> variabel apa saja yang terkait dengan masalah penelitian. Kerangka teori ini disusun berdasarkan pada hasil dari gabungan konsep dan teori yang telah diterapkan dalam bab tinjauan Pustaka. </w:t>
      </w:r>
      <w:r w:rsidRPr="009B3C1B">
        <w:t>Berikut ini merupakan kerangka konsep pada studi ini :</w:t>
      </w:r>
    </w:p>
    <w:p w:rsidR="009B3C1B" w:rsidRPr="009B3C1B" w:rsidRDefault="009B3C1B" w:rsidP="009B3C1B">
      <w:pPr>
        <w:spacing w:line="360" w:lineRule="auto"/>
        <w:jc w:val="center"/>
        <w:rPr>
          <w:b/>
          <w:bCs/>
          <w:color w:val="000000"/>
          <w:lang w:val="id-ID"/>
        </w:rPr>
      </w:pPr>
      <w:r w:rsidRPr="009B3C1B">
        <w:rPr>
          <w:b/>
          <w:noProof/>
          <w:color w:val="000000"/>
          <w:lang w:val="en-US"/>
        </w:rPr>
        <w:drawing>
          <wp:inline distT="0" distB="0" distL="0" distR="0" wp14:anchorId="14B087F4" wp14:editId="535C52C9">
            <wp:extent cx="5196205" cy="4809490"/>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96205" cy="4809490"/>
                    </a:xfrm>
                    <a:prstGeom prst="rect">
                      <a:avLst/>
                    </a:prstGeom>
                    <a:noFill/>
                    <a:ln>
                      <a:noFill/>
                    </a:ln>
                  </pic:spPr>
                </pic:pic>
              </a:graphicData>
            </a:graphic>
          </wp:inline>
        </w:drawing>
      </w:r>
    </w:p>
    <w:p w:rsidR="009B3C1B" w:rsidRPr="009B3C1B" w:rsidRDefault="009B3C1B" w:rsidP="009B3C1B">
      <w:pPr>
        <w:ind w:left="567"/>
        <w:jc w:val="center"/>
        <w:rPr>
          <w:color w:val="000000"/>
          <w:lang w:val="id-ID"/>
        </w:rPr>
      </w:pPr>
    </w:p>
    <w:p w:rsidR="009B3C1B" w:rsidRPr="009B3C1B" w:rsidRDefault="009B3C1B" w:rsidP="009B3C1B">
      <w:pPr>
        <w:spacing w:after="200"/>
        <w:jc w:val="center"/>
        <w:rPr>
          <w:color w:val="000000"/>
          <w:sz w:val="36"/>
          <w:szCs w:val="36"/>
          <w:lang w:val="sv-SE"/>
        </w:rPr>
      </w:pPr>
      <w:bookmarkStart w:id="20" w:name="_Toc225695443"/>
      <w:r w:rsidRPr="009B3C1B">
        <w:rPr>
          <w:color w:val="000000"/>
          <w:lang w:val="sv-SE"/>
        </w:rPr>
        <w:t xml:space="preserve">Gambar 2. </w:t>
      </w:r>
      <w:r w:rsidRPr="009B3C1B">
        <w:rPr>
          <w:color w:val="000000"/>
        </w:rPr>
        <w:fldChar w:fldCharType="begin"/>
      </w:r>
      <w:r w:rsidRPr="009B3C1B">
        <w:rPr>
          <w:color w:val="000000"/>
          <w:lang w:val="sv-SE"/>
        </w:rPr>
        <w:instrText xml:space="preserve"> SEQ Gambar_2. \* ARABIC </w:instrText>
      </w:r>
      <w:r w:rsidRPr="009B3C1B">
        <w:rPr>
          <w:color w:val="000000"/>
        </w:rPr>
        <w:fldChar w:fldCharType="separate"/>
      </w:r>
      <w:r w:rsidRPr="009B3C1B">
        <w:rPr>
          <w:noProof/>
          <w:color w:val="000000"/>
          <w:lang w:val="sv-SE"/>
        </w:rPr>
        <w:t>1</w:t>
      </w:r>
      <w:r w:rsidRPr="009B3C1B">
        <w:rPr>
          <w:color w:val="000000"/>
        </w:rPr>
        <w:fldChar w:fldCharType="end"/>
      </w:r>
      <w:r w:rsidRPr="009B3C1B">
        <w:rPr>
          <w:color w:val="000000"/>
          <w:lang w:val="sv-SE"/>
        </w:rPr>
        <w:t xml:space="preserve"> Kerangka Konsep</w:t>
      </w:r>
      <w:bookmarkEnd w:id="20"/>
    </w:p>
    <w:p w:rsidR="009B3C1B" w:rsidRPr="009B3C1B" w:rsidRDefault="009B3C1B" w:rsidP="009B3C1B">
      <w:pPr>
        <w:jc w:val="center"/>
        <w:rPr>
          <w:color w:val="000000"/>
          <w:lang w:val="id-ID"/>
        </w:rPr>
      </w:pPr>
    </w:p>
    <w:p w:rsidR="009B3C1B" w:rsidRPr="009B3C1B" w:rsidRDefault="009B3C1B" w:rsidP="009B3C1B">
      <w:pPr>
        <w:jc w:val="center"/>
        <w:rPr>
          <w:color w:val="000000"/>
          <w:lang w:val="id-ID"/>
        </w:rPr>
      </w:pPr>
    </w:p>
    <w:p w:rsidR="009B3C1B" w:rsidRPr="009B3C1B" w:rsidRDefault="009B3C1B" w:rsidP="009B3C1B">
      <w:pPr>
        <w:jc w:val="center"/>
        <w:rPr>
          <w:color w:val="000000"/>
          <w:lang w:val="id-ID"/>
        </w:rPr>
      </w:pPr>
    </w:p>
    <w:p w:rsidR="009B3C1B" w:rsidRPr="009B3C1B" w:rsidRDefault="009B3C1B" w:rsidP="009B3C1B">
      <w:pPr>
        <w:spacing w:line="480" w:lineRule="auto"/>
        <w:rPr>
          <w:lang w:val="sv-SE"/>
        </w:rPr>
      </w:pPr>
      <w:r w:rsidRPr="009B3C1B">
        <w:rPr>
          <w:lang w:val="sv-SE"/>
        </w:rPr>
        <w:lastRenderedPageBreak/>
        <w:t xml:space="preserve">Keterangan </w:t>
      </w:r>
      <w:proofErr w:type="gramStart"/>
      <w:r w:rsidRPr="009B3C1B">
        <w:rPr>
          <w:lang w:val="sv-SE"/>
        </w:rPr>
        <w:t>Gambar :</w:t>
      </w:r>
      <w:proofErr w:type="gramEnd"/>
    </w:p>
    <w:p w:rsidR="009B3C1B" w:rsidRPr="009B3C1B" w:rsidRDefault="009B3C1B" w:rsidP="009B3C1B">
      <w:pPr>
        <w:spacing w:line="480" w:lineRule="auto"/>
        <w:jc w:val="both"/>
      </w:pPr>
      <w:r w:rsidRPr="009B3C1B">
        <w:rPr>
          <w:noProof/>
          <w:lang w:val="en-US"/>
        </w:rPr>
        <w:drawing>
          <wp:inline distT="0" distB="0" distL="0" distR="0" wp14:anchorId="17E0DD3C" wp14:editId="28941613">
            <wp:extent cx="2962275" cy="717916"/>
            <wp:effectExtent l="0" t="0" r="0" b="6350"/>
            <wp:docPr id="198910073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00736" name=""/>
                    <pic:cNvPicPr/>
                  </pic:nvPicPr>
                  <pic:blipFill>
                    <a:blip r:embed="rId7"/>
                    <a:stretch>
                      <a:fillRect/>
                    </a:stretch>
                  </pic:blipFill>
                  <pic:spPr>
                    <a:xfrm>
                      <a:off x="0" y="0"/>
                      <a:ext cx="2970049" cy="719800"/>
                    </a:xfrm>
                    <a:prstGeom prst="rect">
                      <a:avLst/>
                    </a:prstGeom>
                  </pic:spPr>
                </pic:pic>
              </a:graphicData>
            </a:graphic>
          </wp:inline>
        </w:drawing>
      </w:r>
    </w:p>
    <w:p w:rsidR="009B3C1B" w:rsidRPr="009B3C1B" w:rsidRDefault="009B3C1B" w:rsidP="009B3C1B">
      <w:pPr>
        <w:spacing w:line="480" w:lineRule="auto"/>
        <w:jc w:val="both"/>
      </w:pPr>
      <w:r w:rsidRPr="009B3C1B">
        <w:t>Keterangan :</w:t>
      </w:r>
    </w:p>
    <w:p w:rsidR="009B3C1B" w:rsidRPr="009B3C1B" w:rsidRDefault="009B3C1B" w:rsidP="009B3C1B">
      <w:pPr>
        <w:spacing w:line="480" w:lineRule="auto"/>
        <w:ind w:firstLine="720"/>
        <w:jc w:val="both"/>
        <w:rPr>
          <w:color w:val="000000"/>
          <w:lang w:val="id-ID"/>
        </w:rPr>
      </w:pPr>
      <w:r w:rsidRPr="009B3C1B">
        <w:rPr>
          <w:i/>
          <w:color w:val="000000"/>
          <w:lang w:val="id-ID"/>
        </w:rPr>
        <w:t>Packed Red Cell</w:t>
      </w:r>
      <w:r w:rsidRPr="009B3C1B">
        <w:rPr>
          <w:color w:val="000000"/>
          <w:lang w:val="id-ID"/>
        </w:rPr>
        <w:t xml:space="preserve"> (PRC) </w:t>
      </w:r>
      <w:r w:rsidRPr="009B3C1B">
        <w:rPr>
          <w:color w:val="000000"/>
        </w:rPr>
        <w:t>ialah</w:t>
      </w:r>
      <w:r w:rsidRPr="009B3C1B">
        <w:rPr>
          <w:color w:val="000000"/>
          <w:lang w:val="id-ID"/>
        </w:rPr>
        <w:t xml:space="preserve"> komponen darah yang </w:t>
      </w:r>
      <w:r w:rsidRPr="009B3C1B">
        <w:rPr>
          <w:color w:val="000000"/>
        </w:rPr>
        <w:t>dipergunakan didalam</w:t>
      </w:r>
      <w:r w:rsidRPr="009B3C1B">
        <w:rPr>
          <w:color w:val="000000"/>
          <w:lang w:val="id-ID"/>
        </w:rPr>
        <w:t xml:space="preserve"> terapi transfusi dan memiliki masa simpan maksimal selama 35 hari. Selama masa penyimpanan tersebut, kualitas PRC </w:t>
      </w:r>
      <w:r w:rsidRPr="009B3C1B">
        <w:rPr>
          <w:color w:val="000000"/>
        </w:rPr>
        <w:t>dapat mengalami berbagai perubahan yang ditentukan oleh faktor</w:t>
      </w:r>
      <w:r w:rsidRPr="009B3C1B">
        <w:rPr>
          <w:color w:val="000000"/>
          <w:lang w:val="id-ID"/>
        </w:rPr>
        <w:t>-faktor</w:t>
      </w:r>
      <w:r w:rsidRPr="009B3C1B">
        <w:rPr>
          <w:color w:val="000000"/>
        </w:rPr>
        <w:t xml:space="preserve"> tertentu</w:t>
      </w:r>
      <w:r w:rsidRPr="009B3C1B">
        <w:rPr>
          <w:color w:val="000000"/>
          <w:lang w:val="id-ID"/>
        </w:rPr>
        <w:t xml:space="preserve">. </w:t>
      </w:r>
      <w:r w:rsidRPr="009B3C1B">
        <w:rPr>
          <w:color w:val="000000"/>
        </w:rPr>
        <w:t>Berbagai faktor</w:t>
      </w:r>
      <w:r w:rsidRPr="009B3C1B">
        <w:rPr>
          <w:color w:val="000000"/>
          <w:lang w:val="id-ID"/>
        </w:rPr>
        <w:t xml:space="preserve"> yang memengaruhi kualitas PRC selama penyimpanan meliputi standardisasi penyimpanan, masa penyimpanan, jenis antikoagulan yang digunakan, serta suhu penyimpanan yang optimal yaitu 2–6°C. Selain itu, selama penyimpanan akan terjadi proses penuaan fisiologis pada eritrosit yang dikenal sebagai storage lesion, yang dapat memengaruhi fungsi dan viabilitas sel darah merah.</w:t>
      </w:r>
    </w:p>
    <w:p w:rsidR="009B3C1B" w:rsidRPr="009B3C1B" w:rsidRDefault="009B3C1B" w:rsidP="009B3C1B">
      <w:pPr>
        <w:spacing w:line="480" w:lineRule="auto"/>
        <w:ind w:firstLine="567"/>
        <w:jc w:val="both"/>
        <w:rPr>
          <w:color w:val="000000"/>
          <w:lang w:val="id-ID"/>
        </w:rPr>
      </w:pPr>
      <w:r w:rsidRPr="009B3C1B">
        <w:rPr>
          <w:color w:val="000000"/>
          <w:lang w:val="id-ID"/>
        </w:rPr>
        <w:t>Dalam penelitian ini, pengamatan dilakukan untuk menilai perubahan kualitas PRC selama masa penyimpanan dengan membandingkan hasil pemeriksaan pada hari pertama dan hari ketujuh penyimpanan. Parameter yang diamati meliputi kadar hemoglobin dan kadar hematokrit sebagai indikator utama kualitas PRC. Perubahan pada kadar hemoglobin dan hematokrit selama penyimpanan diharapkan dapat memberikan gambaran mengenai pengaruh lama penyimpanan terhadap kualitas PRC, sehingga dapat menjadi dasar dalam menjamin keamanan dan efektivitas transfusi darah.</w:t>
      </w:r>
    </w:p>
    <w:p w:rsidR="009B3C1B" w:rsidRPr="009B3C1B" w:rsidRDefault="009B3C1B" w:rsidP="009B3C1B">
      <w:pPr>
        <w:spacing w:line="480" w:lineRule="auto"/>
        <w:ind w:firstLine="567"/>
        <w:jc w:val="both"/>
        <w:rPr>
          <w:color w:val="000000"/>
          <w:lang w:val="id-ID"/>
        </w:rPr>
      </w:pPr>
    </w:p>
    <w:p w:rsidR="009B3C1B" w:rsidRPr="009B3C1B" w:rsidRDefault="009B3C1B" w:rsidP="009B3C1B">
      <w:pPr>
        <w:spacing w:line="480" w:lineRule="auto"/>
        <w:ind w:firstLine="567"/>
        <w:jc w:val="both"/>
        <w:rPr>
          <w:color w:val="000000"/>
          <w:lang w:val="id-ID"/>
        </w:rPr>
      </w:pPr>
    </w:p>
    <w:p w:rsidR="009B3C1B" w:rsidRPr="009B3C1B" w:rsidRDefault="009B3C1B" w:rsidP="009B3C1B">
      <w:pPr>
        <w:numPr>
          <w:ilvl w:val="1"/>
          <w:numId w:val="10"/>
        </w:numPr>
        <w:spacing w:line="480" w:lineRule="auto"/>
        <w:ind w:left="567" w:hanging="567"/>
        <w:jc w:val="both"/>
        <w:outlineLvl w:val="1"/>
        <w:rPr>
          <w:b/>
          <w:bCs/>
          <w:color w:val="000000"/>
          <w:lang w:val="id-ID"/>
        </w:rPr>
      </w:pPr>
      <w:bookmarkStart w:id="21" w:name="_Toc215398939"/>
      <w:bookmarkStart w:id="22" w:name="_Toc225698525"/>
      <w:r w:rsidRPr="009B3C1B">
        <w:rPr>
          <w:b/>
          <w:bCs/>
          <w:color w:val="000000"/>
          <w:lang w:val="id-ID"/>
        </w:rPr>
        <w:lastRenderedPageBreak/>
        <w:t>Hipotesis</w:t>
      </w:r>
      <w:bookmarkEnd w:id="21"/>
      <w:bookmarkEnd w:id="22"/>
    </w:p>
    <w:p w:rsidR="009B3C1B" w:rsidRPr="009B3C1B" w:rsidRDefault="009B3C1B" w:rsidP="009B3C1B">
      <w:pPr>
        <w:spacing w:line="480" w:lineRule="auto"/>
        <w:ind w:left="1560" w:hanging="1560"/>
        <w:jc w:val="both"/>
        <w:rPr>
          <w:lang w:val="id-ID"/>
        </w:rPr>
      </w:pPr>
      <w:bookmarkStart w:id="23" w:name="_Toc215398940"/>
      <w:r w:rsidRPr="009B3C1B">
        <w:rPr>
          <w:lang w:val="id-ID"/>
        </w:rPr>
        <w:t xml:space="preserve">Hipotesis (H₀) : Tidak </w:t>
      </w:r>
      <w:bookmarkEnd w:id="23"/>
      <w:r w:rsidRPr="009B3C1B">
        <w:rPr>
          <w:lang w:val="id-ID"/>
        </w:rPr>
        <w:t xml:space="preserve">terdapat pengaruh masa simpan 7 hari pada </w:t>
      </w:r>
      <w:r w:rsidRPr="009B3C1B">
        <w:rPr>
          <w:i/>
          <w:iCs/>
          <w:lang w:val="id-ID"/>
        </w:rPr>
        <w:t xml:space="preserve">packed red cells </w:t>
      </w:r>
      <w:r w:rsidRPr="009B3C1B">
        <w:rPr>
          <w:lang w:val="id-ID"/>
        </w:rPr>
        <w:t>terhadap kadar hemoglobin dan hematokrit di Unit Donor Darah PMI Kabupaten Karangasem.</w:t>
      </w:r>
    </w:p>
    <w:p w:rsidR="009B3C1B" w:rsidRPr="009B3C1B" w:rsidRDefault="009B3C1B" w:rsidP="009B3C1B">
      <w:pPr>
        <w:spacing w:line="480" w:lineRule="auto"/>
        <w:ind w:left="1560" w:hanging="1560"/>
        <w:jc w:val="both"/>
        <w:rPr>
          <w:lang w:val="id-ID"/>
        </w:rPr>
      </w:pPr>
      <w:bookmarkStart w:id="24" w:name="_Toc215398941"/>
      <w:r w:rsidRPr="009B3C1B">
        <w:rPr>
          <w:lang w:val="id-ID"/>
        </w:rPr>
        <w:t xml:space="preserve">Hipotesis (H₁) : Terdapat pengaruh masa simpan 7 hari pada </w:t>
      </w:r>
      <w:r w:rsidRPr="009B3C1B">
        <w:rPr>
          <w:i/>
          <w:iCs/>
          <w:lang w:val="id-ID"/>
        </w:rPr>
        <w:t xml:space="preserve">packed red cells </w:t>
      </w:r>
      <w:r w:rsidRPr="009B3C1B">
        <w:rPr>
          <w:lang w:val="id-ID"/>
        </w:rPr>
        <w:t>terhadap kadar hemoglobin dan hematokrit di UDD PMI Kabupaten Karangasem.</w:t>
      </w:r>
      <w:bookmarkEnd w:id="24"/>
    </w:p>
    <w:p w:rsidR="005F1CC5" w:rsidRPr="009B3C1B" w:rsidRDefault="005F1CC5">
      <w:pPr>
        <w:rPr>
          <w:lang w:val="en-US"/>
        </w:rPr>
      </w:pPr>
    </w:p>
    <w:sectPr w:rsidR="005F1CC5" w:rsidRPr="009B3C1B" w:rsidSect="009B3C1B">
      <w:pgSz w:w="11900" w:h="16840"/>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adea">
    <w:altName w:val="Calibri"/>
    <w:panose1 w:val="020B0604020202020204"/>
    <w:charset w:val="00"/>
    <w:family w:val="auto"/>
    <w:pitch w:val="variable"/>
  </w:font>
  <w:font w:name="Carlito">
    <w:altName w:val="Calibri"/>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28E"/>
    <w:multiLevelType w:val="multilevel"/>
    <w:tmpl w:val="29CE3E6A"/>
    <w:lvl w:ilvl="0">
      <w:start w:val="1"/>
      <w:numFmt w:val="decimal"/>
      <w:lvlText w:val="%1"/>
      <w:lvlJc w:val="left"/>
      <w:pPr>
        <w:ind w:left="360" w:hanging="360"/>
      </w:pPr>
      <w:rPr>
        <w:rFonts w:hint="default"/>
      </w:rPr>
    </w:lvl>
    <w:lvl w:ilvl="1">
      <w:start w:val="1"/>
      <w:numFmt w:val="decimal"/>
      <w:pStyle w:val="SubBAB"/>
      <w:lvlText w:val="%1.%2"/>
      <w:lvlJc w:val="left"/>
      <w:pPr>
        <w:ind w:left="360" w:hanging="360"/>
      </w:pPr>
      <w:rPr>
        <w:rFonts w:hint="default"/>
      </w:rPr>
    </w:lvl>
    <w:lvl w:ilvl="2">
      <w:start w:val="1"/>
      <w:numFmt w:val="decimal"/>
      <w:pStyle w:val="3SubBAB"/>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75F4CFC"/>
    <w:multiLevelType w:val="hybridMultilevel"/>
    <w:tmpl w:val="C0E81B82"/>
    <w:lvl w:ilvl="0" w:tplc="04090011">
      <w:start w:val="1"/>
      <w:numFmt w:val="decimal"/>
      <w:lvlText w:val="%1)"/>
      <w:lvlJc w:val="left"/>
      <w:pPr>
        <w:ind w:left="4134" w:hanging="360"/>
      </w:pPr>
      <w:rPr>
        <w:rFonts w:hint="default"/>
      </w:rPr>
    </w:lvl>
    <w:lvl w:ilvl="1" w:tplc="04090003" w:tentative="1">
      <w:start w:val="1"/>
      <w:numFmt w:val="bullet"/>
      <w:lvlText w:val="o"/>
      <w:lvlJc w:val="left"/>
      <w:pPr>
        <w:ind w:left="4854" w:hanging="360"/>
      </w:pPr>
      <w:rPr>
        <w:rFonts w:ascii="Courier New" w:hAnsi="Courier New" w:hint="default"/>
      </w:rPr>
    </w:lvl>
    <w:lvl w:ilvl="2" w:tplc="04090005" w:tentative="1">
      <w:start w:val="1"/>
      <w:numFmt w:val="bullet"/>
      <w:lvlText w:val=""/>
      <w:lvlJc w:val="left"/>
      <w:pPr>
        <w:ind w:left="5574" w:hanging="360"/>
      </w:pPr>
      <w:rPr>
        <w:rFonts w:ascii="Wingdings" w:hAnsi="Wingdings" w:hint="default"/>
      </w:rPr>
    </w:lvl>
    <w:lvl w:ilvl="3" w:tplc="04090001" w:tentative="1">
      <w:start w:val="1"/>
      <w:numFmt w:val="bullet"/>
      <w:lvlText w:val=""/>
      <w:lvlJc w:val="left"/>
      <w:pPr>
        <w:ind w:left="6294" w:hanging="360"/>
      </w:pPr>
      <w:rPr>
        <w:rFonts w:ascii="Symbol" w:hAnsi="Symbol" w:hint="default"/>
      </w:rPr>
    </w:lvl>
    <w:lvl w:ilvl="4" w:tplc="04090003" w:tentative="1">
      <w:start w:val="1"/>
      <w:numFmt w:val="bullet"/>
      <w:lvlText w:val="o"/>
      <w:lvlJc w:val="left"/>
      <w:pPr>
        <w:ind w:left="7014" w:hanging="360"/>
      </w:pPr>
      <w:rPr>
        <w:rFonts w:ascii="Courier New" w:hAnsi="Courier New" w:hint="default"/>
      </w:rPr>
    </w:lvl>
    <w:lvl w:ilvl="5" w:tplc="04090005" w:tentative="1">
      <w:start w:val="1"/>
      <w:numFmt w:val="bullet"/>
      <w:lvlText w:val=""/>
      <w:lvlJc w:val="left"/>
      <w:pPr>
        <w:ind w:left="7734" w:hanging="360"/>
      </w:pPr>
      <w:rPr>
        <w:rFonts w:ascii="Wingdings" w:hAnsi="Wingdings" w:hint="default"/>
      </w:rPr>
    </w:lvl>
    <w:lvl w:ilvl="6" w:tplc="04090001" w:tentative="1">
      <w:start w:val="1"/>
      <w:numFmt w:val="bullet"/>
      <w:lvlText w:val=""/>
      <w:lvlJc w:val="left"/>
      <w:pPr>
        <w:ind w:left="8454" w:hanging="360"/>
      </w:pPr>
      <w:rPr>
        <w:rFonts w:ascii="Symbol" w:hAnsi="Symbol" w:hint="default"/>
      </w:rPr>
    </w:lvl>
    <w:lvl w:ilvl="7" w:tplc="04090003" w:tentative="1">
      <w:start w:val="1"/>
      <w:numFmt w:val="bullet"/>
      <w:lvlText w:val="o"/>
      <w:lvlJc w:val="left"/>
      <w:pPr>
        <w:ind w:left="9174" w:hanging="360"/>
      </w:pPr>
      <w:rPr>
        <w:rFonts w:ascii="Courier New" w:hAnsi="Courier New" w:hint="default"/>
      </w:rPr>
    </w:lvl>
    <w:lvl w:ilvl="8" w:tplc="04090005" w:tentative="1">
      <w:start w:val="1"/>
      <w:numFmt w:val="bullet"/>
      <w:lvlText w:val=""/>
      <w:lvlJc w:val="left"/>
      <w:pPr>
        <w:ind w:left="9894" w:hanging="360"/>
      </w:pPr>
      <w:rPr>
        <w:rFonts w:ascii="Wingdings" w:hAnsi="Wingdings" w:hint="default"/>
      </w:rPr>
    </w:lvl>
  </w:abstractNum>
  <w:abstractNum w:abstractNumId="2" w15:restartNumberingAfterBreak="0">
    <w:nsid w:val="1A5023D2"/>
    <w:multiLevelType w:val="hybridMultilevel"/>
    <w:tmpl w:val="22DEE448"/>
    <w:lvl w:ilvl="0" w:tplc="04210019">
      <w:start w:val="1"/>
      <w:numFmt w:val="lowerLetter"/>
      <w:lvlText w:val="%1."/>
      <w:lvlJc w:val="left"/>
      <w:pPr>
        <w:ind w:left="3414" w:hanging="360"/>
      </w:pPr>
    </w:lvl>
    <w:lvl w:ilvl="1" w:tplc="04090019" w:tentative="1">
      <w:start w:val="1"/>
      <w:numFmt w:val="lowerLetter"/>
      <w:lvlText w:val="%2."/>
      <w:lvlJc w:val="left"/>
      <w:pPr>
        <w:ind w:left="4134" w:hanging="360"/>
      </w:pPr>
    </w:lvl>
    <w:lvl w:ilvl="2" w:tplc="0409001B" w:tentative="1">
      <w:start w:val="1"/>
      <w:numFmt w:val="lowerRoman"/>
      <w:lvlText w:val="%3."/>
      <w:lvlJc w:val="right"/>
      <w:pPr>
        <w:ind w:left="4854" w:hanging="180"/>
      </w:pPr>
    </w:lvl>
    <w:lvl w:ilvl="3" w:tplc="0409000F" w:tentative="1">
      <w:start w:val="1"/>
      <w:numFmt w:val="decimal"/>
      <w:lvlText w:val="%4."/>
      <w:lvlJc w:val="left"/>
      <w:pPr>
        <w:ind w:left="5574" w:hanging="360"/>
      </w:pPr>
    </w:lvl>
    <w:lvl w:ilvl="4" w:tplc="04090019" w:tentative="1">
      <w:start w:val="1"/>
      <w:numFmt w:val="lowerLetter"/>
      <w:lvlText w:val="%5."/>
      <w:lvlJc w:val="left"/>
      <w:pPr>
        <w:ind w:left="6294" w:hanging="360"/>
      </w:pPr>
    </w:lvl>
    <w:lvl w:ilvl="5" w:tplc="0409001B" w:tentative="1">
      <w:start w:val="1"/>
      <w:numFmt w:val="lowerRoman"/>
      <w:lvlText w:val="%6."/>
      <w:lvlJc w:val="right"/>
      <w:pPr>
        <w:ind w:left="7014" w:hanging="180"/>
      </w:pPr>
    </w:lvl>
    <w:lvl w:ilvl="6" w:tplc="0409000F" w:tentative="1">
      <w:start w:val="1"/>
      <w:numFmt w:val="decimal"/>
      <w:lvlText w:val="%7."/>
      <w:lvlJc w:val="left"/>
      <w:pPr>
        <w:ind w:left="7734" w:hanging="360"/>
      </w:pPr>
    </w:lvl>
    <w:lvl w:ilvl="7" w:tplc="04090019" w:tentative="1">
      <w:start w:val="1"/>
      <w:numFmt w:val="lowerLetter"/>
      <w:lvlText w:val="%8."/>
      <w:lvlJc w:val="left"/>
      <w:pPr>
        <w:ind w:left="8454" w:hanging="360"/>
      </w:pPr>
    </w:lvl>
    <w:lvl w:ilvl="8" w:tplc="0409001B" w:tentative="1">
      <w:start w:val="1"/>
      <w:numFmt w:val="lowerRoman"/>
      <w:lvlText w:val="%9."/>
      <w:lvlJc w:val="right"/>
      <w:pPr>
        <w:ind w:left="9174" w:hanging="180"/>
      </w:pPr>
    </w:lvl>
  </w:abstractNum>
  <w:abstractNum w:abstractNumId="3" w15:restartNumberingAfterBreak="0">
    <w:nsid w:val="1FD84941"/>
    <w:multiLevelType w:val="hybridMultilevel"/>
    <w:tmpl w:val="33E2F40A"/>
    <w:lvl w:ilvl="0" w:tplc="04210019">
      <w:start w:val="1"/>
      <w:numFmt w:val="lowerLetter"/>
      <w:lvlText w:val="%1."/>
      <w:lvlJc w:val="left"/>
      <w:pPr>
        <w:ind w:left="2880" w:hanging="360"/>
      </w:pPr>
    </w:lvl>
    <w:lvl w:ilvl="1" w:tplc="0409000F">
      <w:start w:val="1"/>
      <w:numFmt w:val="decimal"/>
      <w:lvlText w:val="%2."/>
      <w:lvlJc w:val="left"/>
      <w:pPr>
        <w:ind w:left="3600" w:hanging="360"/>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B974893"/>
    <w:multiLevelType w:val="hybridMultilevel"/>
    <w:tmpl w:val="C0E81B82"/>
    <w:lvl w:ilvl="0" w:tplc="04090011">
      <w:start w:val="1"/>
      <w:numFmt w:val="decimal"/>
      <w:lvlText w:val="%1)"/>
      <w:lvlJc w:val="left"/>
      <w:pPr>
        <w:ind w:left="4134" w:hanging="360"/>
      </w:pPr>
      <w:rPr>
        <w:rFonts w:hint="default"/>
      </w:rPr>
    </w:lvl>
    <w:lvl w:ilvl="1" w:tplc="04090003" w:tentative="1">
      <w:start w:val="1"/>
      <w:numFmt w:val="bullet"/>
      <w:lvlText w:val="o"/>
      <w:lvlJc w:val="left"/>
      <w:pPr>
        <w:ind w:left="4854" w:hanging="360"/>
      </w:pPr>
      <w:rPr>
        <w:rFonts w:ascii="Courier New" w:hAnsi="Courier New" w:hint="default"/>
      </w:rPr>
    </w:lvl>
    <w:lvl w:ilvl="2" w:tplc="04090005" w:tentative="1">
      <w:start w:val="1"/>
      <w:numFmt w:val="bullet"/>
      <w:lvlText w:val=""/>
      <w:lvlJc w:val="left"/>
      <w:pPr>
        <w:ind w:left="5574" w:hanging="360"/>
      </w:pPr>
      <w:rPr>
        <w:rFonts w:ascii="Wingdings" w:hAnsi="Wingdings" w:hint="default"/>
      </w:rPr>
    </w:lvl>
    <w:lvl w:ilvl="3" w:tplc="04090001" w:tentative="1">
      <w:start w:val="1"/>
      <w:numFmt w:val="bullet"/>
      <w:lvlText w:val=""/>
      <w:lvlJc w:val="left"/>
      <w:pPr>
        <w:ind w:left="6294" w:hanging="360"/>
      </w:pPr>
      <w:rPr>
        <w:rFonts w:ascii="Symbol" w:hAnsi="Symbol" w:hint="default"/>
      </w:rPr>
    </w:lvl>
    <w:lvl w:ilvl="4" w:tplc="04090003" w:tentative="1">
      <w:start w:val="1"/>
      <w:numFmt w:val="bullet"/>
      <w:lvlText w:val="o"/>
      <w:lvlJc w:val="left"/>
      <w:pPr>
        <w:ind w:left="7014" w:hanging="360"/>
      </w:pPr>
      <w:rPr>
        <w:rFonts w:ascii="Courier New" w:hAnsi="Courier New" w:hint="default"/>
      </w:rPr>
    </w:lvl>
    <w:lvl w:ilvl="5" w:tplc="04090005" w:tentative="1">
      <w:start w:val="1"/>
      <w:numFmt w:val="bullet"/>
      <w:lvlText w:val=""/>
      <w:lvlJc w:val="left"/>
      <w:pPr>
        <w:ind w:left="7734" w:hanging="360"/>
      </w:pPr>
      <w:rPr>
        <w:rFonts w:ascii="Wingdings" w:hAnsi="Wingdings" w:hint="default"/>
      </w:rPr>
    </w:lvl>
    <w:lvl w:ilvl="6" w:tplc="04090001" w:tentative="1">
      <w:start w:val="1"/>
      <w:numFmt w:val="bullet"/>
      <w:lvlText w:val=""/>
      <w:lvlJc w:val="left"/>
      <w:pPr>
        <w:ind w:left="8454" w:hanging="360"/>
      </w:pPr>
      <w:rPr>
        <w:rFonts w:ascii="Symbol" w:hAnsi="Symbol" w:hint="default"/>
      </w:rPr>
    </w:lvl>
    <w:lvl w:ilvl="7" w:tplc="04090003" w:tentative="1">
      <w:start w:val="1"/>
      <w:numFmt w:val="bullet"/>
      <w:lvlText w:val="o"/>
      <w:lvlJc w:val="left"/>
      <w:pPr>
        <w:ind w:left="9174" w:hanging="360"/>
      </w:pPr>
      <w:rPr>
        <w:rFonts w:ascii="Courier New" w:hAnsi="Courier New" w:hint="default"/>
      </w:rPr>
    </w:lvl>
    <w:lvl w:ilvl="8" w:tplc="04090005" w:tentative="1">
      <w:start w:val="1"/>
      <w:numFmt w:val="bullet"/>
      <w:lvlText w:val=""/>
      <w:lvlJc w:val="left"/>
      <w:pPr>
        <w:ind w:left="9894" w:hanging="360"/>
      </w:pPr>
      <w:rPr>
        <w:rFonts w:ascii="Wingdings" w:hAnsi="Wingdings" w:hint="default"/>
      </w:rPr>
    </w:lvl>
  </w:abstractNum>
  <w:abstractNum w:abstractNumId="5" w15:restartNumberingAfterBreak="0">
    <w:nsid w:val="3C777021"/>
    <w:multiLevelType w:val="hybridMultilevel"/>
    <w:tmpl w:val="C0E81B82"/>
    <w:lvl w:ilvl="0" w:tplc="04090011">
      <w:start w:val="1"/>
      <w:numFmt w:val="decimal"/>
      <w:lvlText w:val="%1)"/>
      <w:lvlJc w:val="left"/>
      <w:pPr>
        <w:ind w:left="4134" w:hanging="360"/>
      </w:pPr>
      <w:rPr>
        <w:rFonts w:hint="default"/>
      </w:rPr>
    </w:lvl>
    <w:lvl w:ilvl="1" w:tplc="04090003" w:tentative="1">
      <w:start w:val="1"/>
      <w:numFmt w:val="bullet"/>
      <w:lvlText w:val="o"/>
      <w:lvlJc w:val="left"/>
      <w:pPr>
        <w:ind w:left="4854" w:hanging="360"/>
      </w:pPr>
      <w:rPr>
        <w:rFonts w:ascii="Courier New" w:hAnsi="Courier New" w:hint="default"/>
      </w:rPr>
    </w:lvl>
    <w:lvl w:ilvl="2" w:tplc="04090005" w:tentative="1">
      <w:start w:val="1"/>
      <w:numFmt w:val="bullet"/>
      <w:lvlText w:val=""/>
      <w:lvlJc w:val="left"/>
      <w:pPr>
        <w:ind w:left="5574" w:hanging="360"/>
      </w:pPr>
      <w:rPr>
        <w:rFonts w:ascii="Wingdings" w:hAnsi="Wingdings" w:hint="default"/>
      </w:rPr>
    </w:lvl>
    <w:lvl w:ilvl="3" w:tplc="04090001" w:tentative="1">
      <w:start w:val="1"/>
      <w:numFmt w:val="bullet"/>
      <w:lvlText w:val=""/>
      <w:lvlJc w:val="left"/>
      <w:pPr>
        <w:ind w:left="6294" w:hanging="360"/>
      </w:pPr>
      <w:rPr>
        <w:rFonts w:ascii="Symbol" w:hAnsi="Symbol" w:hint="default"/>
      </w:rPr>
    </w:lvl>
    <w:lvl w:ilvl="4" w:tplc="04090003" w:tentative="1">
      <w:start w:val="1"/>
      <w:numFmt w:val="bullet"/>
      <w:lvlText w:val="o"/>
      <w:lvlJc w:val="left"/>
      <w:pPr>
        <w:ind w:left="7014" w:hanging="360"/>
      </w:pPr>
      <w:rPr>
        <w:rFonts w:ascii="Courier New" w:hAnsi="Courier New" w:hint="default"/>
      </w:rPr>
    </w:lvl>
    <w:lvl w:ilvl="5" w:tplc="04090005" w:tentative="1">
      <w:start w:val="1"/>
      <w:numFmt w:val="bullet"/>
      <w:lvlText w:val=""/>
      <w:lvlJc w:val="left"/>
      <w:pPr>
        <w:ind w:left="7734" w:hanging="360"/>
      </w:pPr>
      <w:rPr>
        <w:rFonts w:ascii="Wingdings" w:hAnsi="Wingdings" w:hint="default"/>
      </w:rPr>
    </w:lvl>
    <w:lvl w:ilvl="6" w:tplc="04090001" w:tentative="1">
      <w:start w:val="1"/>
      <w:numFmt w:val="bullet"/>
      <w:lvlText w:val=""/>
      <w:lvlJc w:val="left"/>
      <w:pPr>
        <w:ind w:left="8454" w:hanging="360"/>
      </w:pPr>
      <w:rPr>
        <w:rFonts w:ascii="Symbol" w:hAnsi="Symbol" w:hint="default"/>
      </w:rPr>
    </w:lvl>
    <w:lvl w:ilvl="7" w:tplc="04090003" w:tentative="1">
      <w:start w:val="1"/>
      <w:numFmt w:val="bullet"/>
      <w:lvlText w:val="o"/>
      <w:lvlJc w:val="left"/>
      <w:pPr>
        <w:ind w:left="9174" w:hanging="360"/>
      </w:pPr>
      <w:rPr>
        <w:rFonts w:ascii="Courier New" w:hAnsi="Courier New" w:hint="default"/>
      </w:rPr>
    </w:lvl>
    <w:lvl w:ilvl="8" w:tplc="04090005" w:tentative="1">
      <w:start w:val="1"/>
      <w:numFmt w:val="bullet"/>
      <w:lvlText w:val=""/>
      <w:lvlJc w:val="left"/>
      <w:pPr>
        <w:ind w:left="9894" w:hanging="360"/>
      </w:pPr>
      <w:rPr>
        <w:rFonts w:ascii="Wingdings" w:hAnsi="Wingdings" w:hint="default"/>
      </w:rPr>
    </w:lvl>
  </w:abstractNum>
  <w:abstractNum w:abstractNumId="6" w15:restartNumberingAfterBreak="0">
    <w:nsid w:val="5520763C"/>
    <w:multiLevelType w:val="hybridMultilevel"/>
    <w:tmpl w:val="4BF8E3BC"/>
    <w:lvl w:ilvl="0" w:tplc="0421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 w15:restartNumberingAfterBreak="0">
    <w:nsid w:val="60073135"/>
    <w:multiLevelType w:val="hybridMultilevel"/>
    <w:tmpl w:val="9140EC46"/>
    <w:lvl w:ilvl="0" w:tplc="04210019">
      <w:start w:val="1"/>
      <w:numFmt w:val="lowerLetter"/>
      <w:lvlText w:val="%1."/>
      <w:lvlJc w:val="left"/>
      <w:pPr>
        <w:ind w:left="3774" w:hanging="360"/>
      </w:pPr>
    </w:lvl>
    <w:lvl w:ilvl="1" w:tplc="62D881DA">
      <w:start w:val="1"/>
      <w:numFmt w:val="decimal"/>
      <w:lvlText w:val="%2."/>
      <w:lvlJc w:val="left"/>
      <w:pPr>
        <w:ind w:left="4494" w:hanging="360"/>
      </w:pPr>
      <w:rPr>
        <w:rFonts w:hint="default"/>
      </w:rPr>
    </w:lvl>
    <w:lvl w:ilvl="2" w:tplc="0409001B" w:tentative="1">
      <w:start w:val="1"/>
      <w:numFmt w:val="lowerRoman"/>
      <w:lvlText w:val="%3."/>
      <w:lvlJc w:val="right"/>
      <w:pPr>
        <w:ind w:left="5214" w:hanging="180"/>
      </w:pPr>
    </w:lvl>
    <w:lvl w:ilvl="3" w:tplc="0409000F" w:tentative="1">
      <w:start w:val="1"/>
      <w:numFmt w:val="decimal"/>
      <w:lvlText w:val="%4."/>
      <w:lvlJc w:val="left"/>
      <w:pPr>
        <w:ind w:left="5934" w:hanging="360"/>
      </w:pPr>
    </w:lvl>
    <w:lvl w:ilvl="4" w:tplc="04090019" w:tentative="1">
      <w:start w:val="1"/>
      <w:numFmt w:val="lowerLetter"/>
      <w:lvlText w:val="%5."/>
      <w:lvlJc w:val="left"/>
      <w:pPr>
        <w:ind w:left="6654" w:hanging="360"/>
      </w:pPr>
    </w:lvl>
    <w:lvl w:ilvl="5" w:tplc="0409001B" w:tentative="1">
      <w:start w:val="1"/>
      <w:numFmt w:val="lowerRoman"/>
      <w:lvlText w:val="%6."/>
      <w:lvlJc w:val="right"/>
      <w:pPr>
        <w:ind w:left="7374" w:hanging="180"/>
      </w:pPr>
    </w:lvl>
    <w:lvl w:ilvl="6" w:tplc="0409000F" w:tentative="1">
      <w:start w:val="1"/>
      <w:numFmt w:val="decimal"/>
      <w:lvlText w:val="%7."/>
      <w:lvlJc w:val="left"/>
      <w:pPr>
        <w:ind w:left="8094" w:hanging="360"/>
      </w:pPr>
    </w:lvl>
    <w:lvl w:ilvl="7" w:tplc="04090019" w:tentative="1">
      <w:start w:val="1"/>
      <w:numFmt w:val="lowerLetter"/>
      <w:lvlText w:val="%8."/>
      <w:lvlJc w:val="left"/>
      <w:pPr>
        <w:ind w:left="8814" w:hanging="360"/>
      </w:pPr>
    </w:lvl>
    <w:lvl w:ilvl="8" w:tplc="0409001B" w:tentative="1">
      <w:start w:val="1"/>
      <w:numFmt w:val="lowerRoman"/>
      <w:lvlText w:val="%9."/>
      <w:lvlJc w:val="right"/>
      <w:pPr>
        <w:ind w:left="9534" w:hanging="180"/>
      </w:pPr>
    </w:lvl>
  </w:abstractNum>
  <w:abstractNum w:abstractNumId="8" w15:restartNumberingAfterBreak="0">
    <w:nsid w:val="71482A63"/>
    <w:multiLevelType w:val="multilevel"/>
    <w:tmpl w:val="BC8A7576"/>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num w:numId="1" w16cid:durableId="1031608247">
    <w:abstractNumId w:val="0"/>
  </w:num>
  <w:num w:numId="2" w16cid:durableId="1794473779">
    <w:abstractNumId w:val="0"/>
  </w:num>
  <w:num w:numId="3" w16cid:durableId="260644565">
    <w:abstractNumId w:val="0"/>
  </w:num>
  <w:num w:numId="4" w16cid:durableId="197353501">
    <w:abstractNumId w:val="0"/>
  </w:num>
  <w:num w:numId="5" w16cid:durableId="612858529">
    <w:abstractNumId w:val="2"/>
  </w:num>
  <w:num w:numId="6" w16cid:durableId="1455056008">
    <w:abstractNumId w:val="7"/>
  </w:num>
  <w:num w:numId="7" w16cid:durableId="1048726476">
    <w:abstractNumId w:val="1"/>
  </w:num>
  <w:num w:numId="8" w16cid:durableId="1793817344">
    <w:abstractNumId w:val="3"/>
  </w:num>
  <w:num w:numId="9" w16cid:durableId="1223760549">
    <w:abstractNumId w:val="6"/>
  </w:num>
  <w:num w:numId="10" w16cid:durableId="1490051940">
    <w:abstractNumId w:val="8"/>
  </w:num>
  <w:num w:numId="11" w16cid:durableId="1072772684">
    <w:abstractNumId w:val="4"/>
  </w:num>
  <w:num w:numId="12" w16cid:durableId="742877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1B"/>
    <w:rsid w:val="000704F4"/>
    <w:rsid w:val="00127859"/>
    <w:rsid w:val="00301581"/>
    <w:rsid w:val="005F1CC5"/>
    <w:rsid w:val="00666057"/>
    <w:rsid w:val="00727E0D"/>
    <w:rsid w:val="00743E71"/>
    <w:rsid w:val="008A3162"/>
    <w:rsid w:val="009B3C1B"/>
    <w:rsid w:val="00A400B1"/>
    <w:rsid w:val="00B01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E1AE2"/>
  <w15:chartTrackingRefBased/>
  <w15:docId w15:val="{DD4FA100-B79E-714C-85BE-2125D344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C1B"/>
    <w:pPr>
      <w:spacing w:after="0" w:line="240" w:lineRule="auto"/>
      <w:ind w:firstLine="0"/>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704F4"/>
    <w:pPr>
      <w:spacing w:before="600" w:line="360" w:lineRule="auto"/>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0704F4"/>
    <w:pPr>
      <w:spacing w:before="320" w:line="36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704F4"/>
    <w:pPr>
      <w:spacing w:before="32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0704F4"/>
    <w:pPr>
      <w:spacing w:before="280" w:line="360" w:lineRule="auto"/>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704F4"/>
    <w:pPr>
      <w:spacing w:before="28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0704F4"/>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0704F4"/>
    <w:pPr>
      <w:spacing w:before="28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0704F4"/>
    <w:p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0704F4"/>
    <w:pPr>
      <w:spacing w:before="28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iBAB">
    <w:name w:val="Isi BAB"/>
    <w:basedOn w:val="ListParagraph"/>
    <w:rsid w:val="000704F4"/>
    <w:pPr>
      <w:spacing w:before="360"/>
      <w:ind w:left="0" w:firstLine="547"/>
      <w:jc w:val="both"/>
    </w:pPr>
    <w:rPr>
      <w:noProof/>
    </w:rPr>
  </w:style>
  <w:style w:type="paragraph" w:styleId="ListParagraph">
    <w:name w:val="List Paragraph"/>
    <w:basedOn w:val="Normal"/>
    <w:uiPriority w:val="34"/>
    <w:qFormat/>
    <w:rsid w:val="000704F4"/>
    <w:pPr>
      <w:ind w:left="720"/>
      <w:contextualSpacing/>
    </w:pPr>
  </w:style>
  <w:style w:type="paragraph" w:customStyle="1" w:styleId="TableParagraph">
    <w:name w:val="Table Paragraph"/>
    <w:basedOn w:val="Normal"/>
    <w:uiPriority w:val="1"/>
    <w:qFormat/>
    <w:rsid w:val="000704F4"/>
    <w:pPr>
      <w:widowControl w:val="0"/>
      <w:autoSpaceDE w:val="0"/>
      <w:autoSpaceDN w:val="0"/>
      <w:ind w:left="107"/>
    </w:pPr>
    <w:rPr>
      <w:rFonts w:ascii="Caladea" w:eastAsia="Caladea" w:hAnsi="Caladea" w:cs="Caladea"/>
      <w:lang w:val="id"/>
    </w:rPr>
  </w:style>
  <w:style w:type="character" w:customStyle="1" w:styleId="Heading1Char">
    <w:name w:val="Heading 1 Char"/>
    <w:basedOn w:val="DefaultParagraphFont"/>
    <w:link w:val="Heading1"/>
    <w:uiPriority w:val="9"/>
    <w:rsid w:val="000704F4"/>
    <w:rPr>
      <w:rFonts w:asciiTheme="majorHAnsi" w:eastAsiaTheme="majorEastAsia" w:hAnsiTheme="majorHAnsi" w:cstheme="majorBidi"/>
      <w:b/>
      <w:bCs/>
      <w:i/>
      <w:iCs/>
      <w:sz w:val="32"/>
      <w:szCs w:val="32"/>
    </w:rPr>
  </w:style>
  <w:style w:type="paragraph" w:styleId="BodyText">
    <w:name w:val="Body Text"/>
    <w:basedOn w:val="Normal"/>
    <w:link w:val="BodyTextChar"/>
    <w:uiPriority w:val="1"/>
    <w:qFormat/>
    <w:rsid w:val="000704F4"/>
    <w:pPr>
      <w:widowControl w:val="0"/>
      <w:autoSpaceDE w:val="0"/>
      <w:autoSpaceDN w:val="0"/>
    </w:pPr>
    <w:rPr>
      <w:rFonts w:ascii="Carlito" w:eastAsia="Carlito" w:hAnsi="Carlito" w:cs="Carlito"/>
      <w:lang w:val="id"/>
    </w:rPr>
  </w:style>
  <w:style w:type="character" w:customStyle="1" w:styleId="BodyTextChar">
    <w:name w:val="Body Text Char"/>
    <w:basedOn w:val="DefaultParagraphFont"/>
    <w:link w:val="BodyText"/>
    <w:uiPriority w:val="1"/>
    <w:rsid w:val="000704F4"/>
    <w:rPr>
      <w:rFonts w:ascii="Carlito" w:eastAsia="Carlito" w:hAnsi="Carlito" w:cs="Carlito"/>
      <w:sz w:val="24"/>
      <w:szCs w:val="24"/>
      <w:lang w:val="id"/>
    </w:rPr>
  </w:style>
  <w:style w:type="paragraph" w:styleId="TOCHeading">
    <w:name w:val="TOC Heading"/>
    <w:basedOn w:val="Heading1"/>
    <w:next w:val="Normal"/>
    <w:uiPriority w:val="39"/>
    <w:unhideWhenUsed/>
    <w:qFormat/>
    <w:rsid w:val="000704F4"/>
    <w:pPr>
      <w:outlineLvl w:val="9"/>
    </w:pPr>
  </w:style>
  <w:style w:type="character" w:customStyle="1" w:styleId="Heading2Char">
    <w:name w:val="Heading 2 Char"/>
    <w:basedOn w:val="DefaultParagraphFont"/>
    <w:link w:val="Heading2"/>
    <w:uiPriority w:val="9"/>
    <w:rsid w:val="000704F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0704F4"/>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rsid w:val="000704F4"/>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0704F4"/>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0704F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0704F4"/>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0704F4"/>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0704F4"/>
    <w:rPr>
      <w:rFonts w:asciiTheme="majorHAnsi" w:eastAsiaTheme="majorEastAsia" w:hAnsiTheme="majorHAnsi" w:cstheme="majorBidi"/>
      <w:i/>
      <w:iCs/>
      <w:sz w:val="18"/>
      <w:szCs w:val="18"/>
    </w:rPr>
  </w:style>
  <w:style w:type="paragraph" w:styleId="Caption">
    <w:name w:val="caption"/>
    <w:basedOn w:val="Normal"/>
    <w:next w:val="Normal"/>
    <w:uiPriority w:val="35"/>
    <w:unhideWhenUsed/>
    <w:qFormat/>
    <w:rsid w:val="000704F4"/>
    <w:rPr>
      <w:b/>
      <w:bCs/>
      <w:sz w:val="18"/>
      <w:szCs w:val="18"/>
    </w:rPr>
  </w:style>
  <w:style w:type="paragraph" w:styleId="Title">
    <w:name w:val="Title"/>
    <w:basedOn w:val="Normal"/>
    <w:next w:val="Normal"/>
    <w:link w:val="TitleChar"/>
    <w:uiPriority w:val="10"/>
    <w:qFormat/>
    <w:rsid w:val="000704F4"/>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0704F4"/>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0704F4"/>
    <w:pPr>
      <w:spacing w:after="320"/>
      <w:jc w:val="right"/>
    </w:pPr>
    <w:rPr>
      <w:i/>
      <w:iCs/>
      <w:color w:val="808080" w:themeColor="text1" w:themeTint="7F"/>
      <w:spacing w:val="10"/>
    </w:rPr>
  </w:style>
  <w:style w:type="character" w:customStyle="1" w:styleId="SubtitleChar">
    <w:name w:val="Subtitle Char"/>
    <w:basedOn w:val="DefaultParagraphFont"/>
    <w:link w:val="Subtitle"/>
    <w:uiPriority w:val="11"/>
    <w:rsid w:val="000704F4"/>
    <w:rPr>
      <w:i/>
      <w:iCs/>
      <w:color w:val="808080" w:themeColor="text1" w:themeTint="7F"/>
      <w:spacing w:val="10"/>
      <w:sz w:val="24"/>
      <w:szCs w:val="24"/>
    </w:rPr>
  </w:style>
  <w:style w:type="character" w:styleId="Strong">
    <w:name w:val="Strong"/>
    <w:basedOn w:val="DefaultParagraphFont"/>
    <w:uiPriority w:val="22"/>
    <w:qFormat/>
    <w:rsid w:val="000704F4"/>
    <w:rPr>
      <w:b/>
      <w:bCs/>
      <w:spacing w:val="0"/>
    </w:rPr>
  </w:style>
  <w:style w:type="character" w:styleId="Emphasis">
    <w:name w:val="Emphasis"/>
    <w:uiPriority w:val="20"/>
    <w:qFormat/>
    <w:rsid w:val="000704F4"/>
    <w:rPr>
      <w:b/>
      <w:bCs/>
      <w:i/>
      <w:iCs/>
      <w:color w:val="auto"/>
    </w:rPr>
  </w:style>
  <w:style w:type="paragraph" w:styleId="NoSpacing">
    <w:name w:val="No Spacing"/>
    <w:basedOn w:val="Normal"/>
    <w:uiPriority w:val="1"/>
    <w:qFormat/>
    <w:rsid w:val="000704F4"/>
  </w:style>
  <w:style w:type="paragraph" w:styleId="Quote">
    <w:name w:val="Quote"/>
    <w:basedOn w:val="Normal"/>
    <w:next w:val="Normal"/>
    <w:link w:val="QuoteChar"/>
    <w:uiPriority w:val="29"/>
    <w:qFormat/>
    <w:rsid w:val="000704F4"/>
    <w:rPr>
      <w:color w:val="5A5A5A" w:themeColor="text1" w:themeTint="A5"/>
    </w:rPr>
  </w:style>
  <w:style w:type="character" w:customStyle="1" w:styleId="QuoteChar">
    <w:name w:val="Quote Char"/>
    <w:basedOn w:val="DefaultParagraphFont"/>
    <w:link w:val="Quote"/>
    <w:uiPriority w:val="29"/>
    <w:rsid w:val="000704F4"/>
    <w:rPr>
      <w:color w:val="5A5A5A" w:themeColor="text1" w:themeTint="A5"/>
    </w:rPr>
  </w:style>
  <w:style w:type="paragraph" w:styleId="IntenseQuote">
    <w:name w:val="Intense Quote"/>
    <w:basedOn w:val="Normal"/>
    <w:next w:val="Normal"/>
    <w:link w:val="IntenseQuoteChar"/>
    <w:uiPriority w:val="30"/>
    <w:qFormat/>
    <w:rsid w:val="000704F4"/>
    <w:pPr>
      <w:spacing w:before="320" w:after="480"/>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0704F4"/>
    <w:rPr>
      <w:rFonts w:asciiTheme="majorHAnsi" w:eastAsiaTheme="majorEastAsia" w:hAnsiTheme="majorHAnsi" w:cstheme="majorBidi"/>
      <w:i/>
      <w:iCs/>
      <w:sz w:val="20"/>
      <w:szCs w:val="20"/>
    </w:rPr>
  </w:style>
  <w:style w:type="character" w:styleId="SubtleEmphasis">
    <w:name w:val="Subtle Emphasis"/>
    <w:uiPriority w:val="19"/>
    <w:qFormat/>
    <w:rsid w:val="000704F4"/>
    <w:rPr>
      <w:i/>
      <w:iCs/>
      <w:color w:val="5A5A5A" w:themeColor="text1" w:themeTint="A5"/>
    </w:rPr>
  </w:style>
  <w:style w:type="character" w:styleId="IntenseEmphasis">
    <w:name w:val="Intense Emphasis"/>
    <w:uiPriority w:val="21"/>
    <w:qFormat/>
    <w:rsid w:val="000704F4"/>
    <w:rPr>
      <w:b/>
      <w:bCs/>
      <w:i/>
      <w:iCs/>
      <w:color w:val="auto"/>
      <w:u w:val="single"/>
    </w:rPr>
  </w:style>
  <w:style w:type="character" w:styleId="SubtleReference">
    <w:name w:val="Subtle Reference"/>
    <w:uiPriority w:val="31"/>
    <w:qFormat/>
    <w:rsid w:val="000704F4"/>
    <w:rPr>
      <w:smallCaps/>
    </w:rPr>
  </w:style>
  <w:style w:type="character" w:styleId="IntenseReference">
    <w:name w:val="Intense Reference"/>
    <w:uiPriority w:val="32"/>
    <w:qFormat/>
    <w:rsid w:val="000704F4"/>
    <w:rPr>
      <w:b/>
      <w:bCs/>
      <w:smallCaps/>
      <w:color w:val="auto"/>
    </w:rPr>
  </w:style>
  <w:style w:type="character" w:styleId="BookTitle">
    <w:name w:val="Book Title"/>
    <w:uiPriority w:val="33"/>
    <w:qFormat/>
    <w:rsid w:val="000704F4"/>
    <w:rPr>
      <w:rFonts w:asciiTheme="majorHAnsi" w:eastAsiaTheme="majorEastAsia" w:hAnsiTheme="majorHAnsi" w:cstheme="majorBidi"/>
      <w:b/>
      <w:bCs/>
      <w:smallCaps/>
      <w:color w:val="auto"/>
      <w:u w:val="single"/>
    </w:rPr>
  </w:style>
  <w:style w:type="paragraph" w:customStyle="1" w:styleId="SubBAB">
    <w:name w:val="Sub BAB"/>
    <w:basedOn w:val="Heading2"/>
    <w:next w:val="Heading2"/>
    <w:autoRedefine/>
    <w:qFormat/>
    <w:rsid w:val="00743E71"/>
    <w:pPr>
      <w:keepNext/>
      <w:keepLines/>
      <w:numPr>
        <w:ilvl w:val="1"/>
        <w:numId w:val="4"/>
      </w:numPr>
      <w:spacing w:before="40" w:line="480" w:lineRule="auto"/>
    </w:pPr>
    <w:rPr>
      <w:rFonts w:ascii="Times New Roman" w:hAnsi="Times New Roman" w:cs="Times New Roman"/>
      <w:bCs w:val="0"/>
      <w:i w:val="0"/>
      <w:iCs w:val="0"/>
      <w:color w:val="000000" w:themeColor="text1"/>
      <w:sz w:val="24"/>
      <w:szCs w:val="24"/>
      <w:lang w:val="en-US"/>
    </w:rPr>
  </w:style>
  <w:style w:type="paragraph" w:customStyle="1" w:styleId="3SubBAB">
    <w:name w:val="3 Sub BAB"/>
    <w:basedOn w:val="Heading3"/>
    <w:next w:val="Heading3"/>
    <w:autoRedefine/>
    <w:qFormat/>
    <w:rsid w:val="00743E71"/>
    <w:pPr>
      <w:keepNext/>
      <w:keepLines/>
      <w:numPr>
        <w:ilvl w:val="2"/>
        <w:numId w:val="4"/>
      </w:numPr>
      <w:spacing w:before="0" w:line="480" w:lineRule="auto"/>
      <w:jc w:val="both"/>
    </w:pPr>
    <w:rPr>
      <w:rFonts w:ascii="Times New Roman" w:hAnsi="Times New Roman" w:cs="Times New Roman"/>
      <w:bCs w:val="0"/>
      <w:i w:val="0"/>
      <w:iCs w:val="0"/>
      <w:sz w:val="24"/>
      <w:szCs w:val="24"/>
      <w:lang w:val="en-US"/>
    </w:rPr>
  </w:style>
  <w:style w:type="paragraph" w:customStyle="1" w:styleId="p1">
    <w:name w:val="p1"/>
    <w:basedOn w:val="Normal"/>
    <w:rsid w:val="009B3C1B"/>
    <w:rPr>
      <w:color w:val="000000"/>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A25BF-FB21-4D45-A647-E4405020F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2834</Words>
  <Characters>16159</Characters>
  <Application>Microsoft Office Word</Application>
  <DocSecurity>0</DocSecurity>
  <Lines>134</Lines>
  <Paragraphs>37</Paragraphs>
  <ScaleCrop>false</ScaleCrop>
  <Company/>
  <LinksUpToDate>false</LinksUpToDate>
  <CharactersWithSpaces>18956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2026-09-17T02:33:00Z</dcterms:created>
  <dcterms:modified xsi:type="dcterms:W3CDTF">2026-09-17T02:38:00Z</dcterms:modified>
</cp:coreProperties>
</file>